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14:paraId="534C6652" w14:textId="77777777" w:rsidTr="001934AB">
        <w:trPr>
          <w:jc w:val="center"/>
        </w:trPr>
        <w:tc>
          <w:tcPr>
            <w:tcW w:w="3284" w:type="dxa"/>
            <w:vAlign w:val="center"/>
          </w:tcPr>
          <w:p w14:paraId="1C827DC6" w14:textId="77777777" w:rsidR="001934AB" w:rsidRDefault="001934AB" w:rsidP="001934AB">
            <w:pPr>
              <w:pStyle w:val="Antrats"/>
              <w:spacing w:before="0"/>
              <w:jc w:val="center"/>
            </w:pPr>
          </w:p>
        </w:tc>
        <w:tc>
          <w:tcPr>
            <w:tcW w:w="3285" w:type="dxa"/>
            <w:vAlign w:val="center"/>
          </w:tcPr>
          <w:p w14:paraId="551FDBBC" w14:textId="77777777" w:rsidR="001934AB" w:rsidRDefault="00F71048" w:rsidP="001934AB">
            <w:pPr>
              <w:pStyle w:val="Antrats"/>
              <w:spacing w:before="0"/>
              <w:jc w:val="center"/>
            </w:pPr>
            <w:r w:rsidRPr="00E07052">
              <w:rPr>
                <w:noProof/>
              </w:rPr>
              <w:drawing>
                <wp:inline distT="0" distB="0" distL="0" distR="0" wp14:anchorId="202EC8B5" wp14:editId="3DD69B99">
                  <wp:extent cx="731520" cy="746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423DAE16" w14:textId="77777777" w:rsidR="001934AB" w:rsidRDefault="001934AB" w:rsidP="001934AB">
            <w:pPr>
              <w:pStyle w:val="Antrats"/>
              <w:spacing w:before="0"/>
              <w:jc w:val="center"/>
            </w:pPr>
          </w:p>
        </w:tc>
      </w:tr>
    </w:tbl>
    <w:p w14:paraId="34FE39F2" w14:textId="77777777" w:rsidR="00C95A91" w:rsidRDefault="00C95A91" w:rsidP="00C95A91">
      <w:pPr>
        <w:autoSpaceDE w:val="0"/>
        <w:autoSpaceDN w:val="0"/>
        <w:adjustRightInd w:val="0"/>
        <w:jc w:val="both"/>
        <w:rPr>
          <w:lang w:val="lt-LT"/>
        </w:rPr>
      </w:pPr>
    </w:p>
    <w:p w14:paraId="1801D0CF" w14:textId="77777777" w:rsidR="00C95A91" w:rsidRDefault="00FB6905" w:rsidP="00C95A91">
      <w:pPr>
        <w:jc w:val="center"/>
        <w:rPr>
          <w:b/>
          <w:bCs/>
          <w:sz w:val="20"/>
          <w:szCs w:val="20"/>
          <w:lang w:val="lt-LT"/>
        </w:rPr>
      </w:pPr>
      <w:r>
        <w:rPr>
          <w:b/>
          <w:bCs/>
          <w:sz w:val="20"/>
          <w:szCs w:val="20"/>
          <w:lang w:val="lt-LT"/>
        </w:rPr>
        <w:t>COURSE UNIT</w:t>
      </w:r>
      <w:r w:rsidR="00A96B17">
        <w:rPr>
          <w:b/>
          <w:bCs/>
          <w:sz w:val="20"/>
          <w:szCs w:val="20"/>
          <w:lang w:val="lt-LT"/>
        </w:rPr>
        <w:t xml:space="preserve"> </w:t>
      </w:r>
      <w:r w:rsidR="00A96B17">
        <w:rPr>
          <w:b/>
          <w:sz w:val="20"/>
          <w:lang w:val="en-GB"/>
        </w:rPr>
        <w:t>(MODULE)</w:t>
      </w:r>
      <w:r>
        <w:rPr>
          <w:b/>
          <w:bCs/>
          <w:sz w:val="20"/>
          <w:szCs w:val="20"/>
          <w:lang w:val="lt-LT"/>
        </w:rPr>
        <w:t xml:space="preserve"> DESCRIPTION</w:t>
      </w:r>
    </w:p>
    <w:p w14:paraId="18B44B26" w14:textId="77777777" w:rsidR="00C95A91" w:rsidRDefault="00C95A91" w:rsidP="00C95A91">
      <w:pPr>
        <w:jc w:val="center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1"/>
        <w:gridCol w:w="2491"/>
      </w:tblGrid>
      <w:tr w:rsidR="00C95A91" w:rsidRPr="001445D3" w14:paraId="19E725AC" w14:textId="77777777" w:rsidTr="00C95A91">
        <w:tc>
          <w:tcPr>
            <w:tcW w:w="3750" w:type="pct"/>
            <w:shd w:val="clear" w:color="auto" w:fill="E6E6E6"/>
          </w:tcPr>
          <w:p w14:paraId="57B3C240" w14:textId="77777777" w:rsidR="00C95A91" w:rsidRPr="001445D3" w:rsidRDefault="00FB6905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 xml:space="preserve">Course unit </w:t>
            </w:r>
            <w:r w:rsidR="00A96B17" w:rsidRPr="001445D3">
              <w:rPr>
                <w:b/>
                <w:bCs/>
                <w:sz w:val="20"/>
                <w:szCs w:val="20"/>
                <w:lang w:val="en-GB"/>
              </w:rPr>
              <w:t xml:space="preserve">(module) </w:t>
            </w:r>
            <w:r w:rsidRPr="001445D3">
              <w:rPr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250" w:type="pct"/>
            <w:shd w:val="clear" w:color="auto" w:fill="E6E6E6"/>
          </w:tcPr>
          <w:p w14:paraId="262FFC1A" w14:textId="77777777" w:rsidR="00C95A91" w:rsidRPr="001445D3" w:rsidRDefault="00A96B17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FB6905" w:rsidRPr="001445D3">
              <w:rPr>
                <w:b/>
                <w:bCs/>
                <w:sz w:val="20"/>
                <w:szCs w:val="20"/>
                <w:lang w:val="en-GB"/>
              </w:rPr>
              <w:t>ode</w:t>
            </w:r>
          </w:p>
        </w:tc>
      </w:tr>
      <w:tr w:rsidR="00C95A91" w:rsidRPr="001445D3" w14:paraId="0C08763E" w14:textId="77777777" w:rsidTr="00C95A91">
        <w:tc>
          <w:tcPr>
            <w:tcW w:w="3750" w:type="pct"/>
          </w:tcPr>
          <w:p w14:paraId="539D021D" w14:textId="4DF7EB08" w:rsidR="00C95A91" w:rsidRPr="001445D3" w:rsidRDefault="00FA14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bookmarkStart w:id="0" w:name="_Hlk125024092"/>
            <w:r w:rsidRPr="00FA14A3">
              <w:rPr>
                <w:b/>
                <w:bCs/>
                <w:sz w:val="20"/>
                <w:szCs w:val="20"/>
                <w:lang w:val="en-GB"/>
              </w:rPr>
              <w:t>Risk management</w:t>
            </w:r>
            <w:bookmarkEnd w:id="0"/>
          </w:p>
        </w:tc>
        <w:tc>
          <w:tcPr>
            <w:tcW w:w="1250" w:type="pct"/>
          </w:tcPr>
          <w:p w14:paraId="4966E914" w14:textId="77777777" w:rsidR="00C95A91" w:rsidRPr="001445D3" w:rsidRDefault="00C95A91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BACD10F" w14:textId="77777777" w:rsidR="00C95A91" w:rsidRPr="001445D3" w:rsidRDefault="00C95A91" w:rsidP="00C95A91">
      <w:pPr>
        <w:jc w:val="both"/>
        <w:rPr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5210"/>
      </w:tblGrid>
      <w:tr w:rsidR="00C95A91" w:rsidRPr="001445D3" w14:paraId="7EE7CA11" w14:textId="77777777" w:rsidTr="00A96B17">
        <w:tc>
          <w:tcPr>
            <w:tcW w:w="2385" w:type="pct"/>
            <w:shd w:val="clear" w:color="auto" w:fill="E6E6E6"/>
          </w:tcPr>
          <w:p w14:paraId="6FDD108D" w14:textId="77777777" w:rsidR="00C95A91" w:rsidRPr="001445D3" w:rsidRDefault="00FB6905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Lecturer(s)</w:t>
            </w:r>
          </w:p>
        </w:tc>
        <w:tc>
          <w:tcPr>
            <w:tcW w:w="2615" w:type="pct"/>
            <w:shd w:val="clear" w:color="auto" w:fill="E6E6E6"/>
          </w:tcPr>
          <w:p w14:paraId="0ED0E4D7" w14:textId="77777777" w:rsidR="00C95A91" w:rsidRPr="001445D3" w:rsidRDefault="00FB6905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 xml:space="preserve">Department(s) where the course unit </w:t>
            </w:r>
            <w:r w:rsidR="00A96B17" w:rsidRPr="001445D3">
              <w:rPr>
                <w:b/>
                <w:bCs/>
                <w:sz w:val="20"/>
                <w:szCs w:val="20"/>
                <w:lang w:val="en-GB"/>
              </w:rPr>
              <w:t xml:space="preserve">(module) </w:t>
            </w:r>
            <w:r w:rsidRPr="001445D3">
              <w:rPr>
                <w:b/>
                <w:bCs/>
                <w:sz w:val="20"/>
                <w:szCs w:val="20"/>
                <w:lang w:val="en-GB"/>
              </w:rPr>
              <w:t>is delivered</w:t>
            </w:r>
          </w:p>
        </w:tc>
      </w:tr>
      <w:tr w:rsidR="00C95A91" w:rsidRPr="001445D3" w14:paraId="3564F541" w14:textId="77777777" w:rsidTr="00A96B17">
        <w:tc>
          <w:tcPr>
            <w:tcW w:w="2385" w:type="pct"/>
          </w:tcPr>
          <w:p w14:paraId="1D3FF6B3" w14:textId="237769FA" w:rsidR="00C95A91" w:rsidRPr="001445D3" w:rsidRDefault="00FB6905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 xml:space="preserve">Coordinator: </w:t>
            </w:r>
            <w:r w:rsidR="00D453D7" w:rsidRPr="00D453D7">
              <w:rPr>
                <w:b/>
                <w:bCs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="00D453D7" w:rsidRPr="00D453D7">
              <w:rPr>
                <w:b/>
                <w:bCs/>
                <w:sz w:val="20"/>
                <w:szCs w:val="20"/>
                <w:lang w:val="en-GB"/>
              </w:rPr>
              <w:t>dr.</w:t>
            </w:r>
            <w:proofErr w:type="spellEnd"/>
            <w:r w:rsidR="00D453D7" w:rsidRPr="00D453D7">
              <w:rPr>
                <w:b/>
                <w:bCs/>
                <w:sz w:val="20"/>
                <w:szCs w:val="20"/>
                <w:lang w:val="en-GB"/>
              </w:rPr>
              <w:t xml:space="preserve"> Arvydas Paškevičius</w:t>
            </w:r>
          </w:p>
          <w:p w14:paraId="39E7E2B5" w14:textId="77777777" w:rsidR="00FB6905" w:rsidRPr="001445D3" w:rsidRDefault="00FB6905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0FF0FDA4" w14:textId="77777777" w:rsidR="00C95A91" w:rsidRPr="001445D3" w:rsidRDefault="00A96B17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Other</w:t>
            </w:r>
            <w:r w:rsidR="00FB6905" w:rsidRPr="001445D3">
              <w:rPr>
                <w:b/>
                <w:bCs/>
                <w:sz w:val="20"/>
                <w:szCs w:val="20"/>
                <w:lang w:val="en-GB"/>
              </w:rPr>
              <w:t>(s):</w:t>
            </w:r>
          </w:p>
        </w:tc>
        <w:tc>
          <w:tcPr>
            <w:tcW w:w="2615" w:type="pct"/>
          </w:tcPr>
          <w:p w14:paraId="2B3F45C9" w14:textId="77777777" w:rsidR="00C95A91" w:rsidRPr="00D0218F" w:rsidRDefault="00D0218F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en-GB"/>
              </w:rPr>
              <w:t>Business School, Saul</w:t>
            </w:r>
            <w:proofErr w:type="spellStart"/>
            <w:r>
              <w:rPr>
                <w:sz w:val="20"/>
                <w:szCs w:val="20"/>
                <w:lang w:val="lt-LT"/>
              </w:rPr>
              <w:t>ėtekio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al. 22, Vilnius</w:t>
            </w:r>
          </w:p>
        </w:tc>
      </w:tr>
    </w:tbl>
    <w:p w14:paraId="7D219228" w14:textId="77777777" w:rsidR="00C95A91" w:rsidRPr="001445D3" w:rsidRDefault="00C95A91" w:rsidP="00C95A91">
      <w:pPr>
        <w:jc w:val="both"/>
        <w:rPr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927"/>
      </w:tblGrid>
      <w:tr w:rsidR="00C95A91" w:rsidRPr="001445D3" w14:paraId="09874494" w14:textId="77777777" w:rsidTr="00C95A91">
        <w:tc>
          <w:tcPr>
            <w:tcW w:w="2527" w:type="pct"/>
            <w:shd w:val="clear" w:color="auto" w:fill="E6E6E6"/>
          </w:tcPr>
          <w:p w14:paraId="0BF0F6AE" w14:textId="77777777" w:rsidR="00C95A91" w:rsidRPr="001445D3" w:rsidRDefault="00A96B17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Study c</w:t>
            </w:r>
            <w:r w:rsidR="00FB6905" w:rsidRPr="001445D3">
              <w:rPr>
                <w:b/>
                <w:bCs/>
                <w:sz w:val="20"/>
                <w:szCs w:val="20"/>
                <w:lang w:val="en-GB"/>
              </w:rPr>
              <w:t>ycle</w:t>
            </w:r>
          </w:p>
        </w:tc>
        <w:tc>
          <w:tcPr>
            <w:tcW w:w="2473" w:type="pct"/>
            <w:shd w:val="clear" w:color="auto" w:fill="E6E6E6"/>
          </w:tcPr>
          <w:p w14:paraId="36342549" w14:textId="77777777" w:rsidR="00C95A91" w:rsidRPr="001445D3" w:rsidRDefault="00FB6905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Type of the course unit</w:t>
            </w:r>
            <w:r w:rsidR="00A96B17" w:rsidRPr="001445D3">
              <w:rPr>
                <w:b/>
                <w:bCs/>
                <w:sz w:val="20"/>
                <w:szCs w:val="20"/>
                <w:lang w:val="en-GB"/>
              </w:rPr>
              <w:t xml:space="preserve"> (module)</w:t>
            </w:r>
          </w:p>
        </w:tc>
      </w:tr>
      <w:tr w:rsidR="00C95A91" w:rsidRPr="001445D3" w14:paraId="7EAFCD55" w14:textId="77777777" w:rsidTr="00C95A91">
        <w:tc>
          <w:tcPr>
            <w:tcW w:w="2527" w:type="pct"/>
          </w:tcPr>
          <w:p w14:paraId="255E9A30" w14:textId="77777777" w:rsidR="00C95A91" w:rsidRPr="001445D3" w:rsidRDefault="00E36306" w:rsidP="0014325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Second</w:t>
            </w:r>
            <w:r w:rsidR="00D0218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73" w:type="pct"/>
          </w:tcPr>
          <w:p w14:paraId="394DF4A9" w14:textId="01827C86" w:rsidR="00C95A91" w:rsidRPr="001445D3" w:rsidRDefault="00D0218F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Compulsory</w:t>
            </w:r>
            <w:r w:rsidR="0066793F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9654332" w14:textId="77777777" w:rsidR="00C95A91" w:rsidRPr="001445D3" w:rsidRDefault="00C95A91" w:rsidP="00C95A91">
      <w:pPr>
        <w:jc w:val="both"/>
        <w:rPr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19"/>
        <w:gridCol w:w="3319"/>
      </w:tblGrid>
      <w:tr w:rsidR="00C95A91" w:rsidRPr="001445D3" w14:paraId="08698291" w14:textId="77777777" w:rsidTr="00C95A91">
        <w:tc>
          <w:tcPr>
            <w:tcW w:w="1668" w:type="pct"/>
            <w:shd w:val="clear" w:color="auto" w:fill="E6E6E6"/>
          </w:tcPr>
          <w:p w14:paraId="7CCF9ED1" w14:textId="77777777" w:rsidR="00C95A91" w:rsidRPr="001445D3" w:rsidRDefault="00FB6905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1666" w:type="pct"/>
            <w:shd w:val="clear" w:color="auto" w:fill="E6E6E6"/>
          </w:tcPr>
          <w:p w14:paraId="440CA6F8" w14:textId="77777777" w:rsidR="00C95A91" w:rsidRPr="001445D3" w:rsidRDefault="00A96B17" w:rsidP="00A96B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P</w:t>
            </w:r>
            <w:r w:rsidR="00FB6905" w:rsidRPr="001445D3">
              <w:rPr>
                <w:b/>
                <w:bCs/>
                <w:sz w:val="20"/>
                <w:szCs w:val="20"/>
                <w:lang w:val="en-GB"/>
              </w:rPr>
              <w:t xml:space="preserve">eriod when the course unit </w:t>
            </w:r>
            <w:r w:rsidRPr="001445D3">
              <w:rPr>
                <w:b/>
                <w:bCs/>
                <w:sz w:val="20"/>
                <w:szCs w:val="20"/>
                <w:lang w:val="en-GB"/>
              </w:rPr>
              <w:t xml:space="preserve">(module) </w:t>
            </w:r>
            <w:r w:rsidR="00FB6905" w:rsidRPr="001445D3">
              <w:rPr>
                <w:b/>
                <w:bCs/>
                <w:sz w:val="20"/>
                <w:szCs w:val="20"/>
                <w:lang w:val="en-GB"/>
              </w:rPr>
              <w:t>is delivered</w:t>
            </w:r>
          </w:p>
        </w:tc>
        <w:tc>
          <w:tcPr>
            <w:tcW w:w="1667" w:type="pct"/>
            <w:shd w:val="clear" w:color="auto" w:fill="E6E6E6"/>
          </w:tcPr>
          <w:p w14:paraId="346E596D" w14:textId="77777777" w:rsidR="00C95A91" w:rsidRPr="001445D3" w:rsidRDefault="006864E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Language(s) of instruction</w:t>
            </w:r>
          </w:p>
        </w:tc>
      </w:tr>
      <w:tr w:rsidR="00C95A91" w:rsidRPr="001445D3" w14:paraId="130D75EA" w14:textId="77777777" w:rsidTr="00C95A91">
        <w:tc>
          <w:tcPr>
            <w:tcW w:w="1668" w:type="pct"/>
          </w:tcPr>
          <w:p w14:paraId="52C2B197" w14:textId="77777777" w:rsidR="00C95A91" w:rsidRPr="001445D3" w:rsidRDefault="00D0218F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Face-to face</w:t>
            </w:r>
            <w:r w:rsidR="0066793F">
              <w:rPr>
                <w:sz w:val="20"/>
                <w:szCs w:val="20"/>
                <w:lang w:val="en-GB"/>
              </w:rPr>
              <w:t xml:space="preserve"> /</w:t>
            </w:r>
            <w:r w:rsidR="00F71048">
              <w:rPr>
                <w:sz w:val="20"/>
                <w:szCs w:val="20"/>
                <w:lang w:val="en-GB"/>
              </w:rPr>
              <w:t xml:space="preserve"> virtual</w:t>
            </w:r>
            <w:r w:rsidR="0066793F">
              <w:rPr>
                <w:sz w:val="20"/>
                <w:szCs w:val="20"/>
                <w:lang w:val="en-GB"/>
              </w:rPr>
              <w:t xml:space="preserve"> / blended</w:t>
            </w:r>
          </w:p>
        </w:tc>
        <w:tc>
          <w:tcPr>
            <w:tcW w:w="1666" w:type="pct"/>
          </w:tcPr>
          <w:p w14:paraId="1223E18C" w14:textId="77777777" w:rsidR="00C95A91" w:rsidRPr="001445D3" w:rsidRDefault="00F71048" w:rsidP="00D0218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Spring</w:t>
            </w:r>
          </w:p>
        </w:tc>
        <w:tc>
          <w:tcPr>
            <w:tcW w:w="1667" w:type="pct"/>
          </w:tcPr>
          <w:p w14:paraId="05907CB9" w14:textId="77777777" w:rsidR="00C95A91" w:rsidRPr="001445D3" w:rsidRDefault="00D0218F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English</w:t>
            </w:r>
          </w:p>
        </w:tc>
      </w:tr>
    </w:tbl>
    <w:p w14:paraId="06714809" w14:textId="77777777" w:rsidR="00C95A91" w:rsidRPr="001445D3" w:rsidRDefault="00C95A91" w:rsidP="00C95A91">
      <w:pPr>
        <w:jc w:val="both"/>
        <w:rPr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01"/>
      </w:tblGrid>
      <w:tr w:rsidR="00C95A91" w:rsidRPr="001445D3" w14:paraId="6DEEB783" w14:textId="77777777" w:rsidTr="00C95A91">
        <w:tc>
          <w:tcPr>
            <w:tcW w:w="5000" w:type="pct"/>
            <w:gridSpan w:val="2"/>
            <w:shd w:val="clear" w:color="auto" w:fill="E6E6E6"/>
          </w:tcPr>
          <w:p w14:paraId="42E53352" w14:textId="77777777" w:rsidR="00C95A91" w:rsidRPr="001445D3" w:rsidRDefault="00A96B17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Requirements for students</w:t>
            </w:r>
          </w:p>
        </w:tc>
      </w:tr>
      <w:tr w:rsidR="00C95A91" w:rsidRPr="001445D3" w14:paraId="5CA02642" w14:textId="77777777" w:rsidTr="00C95A91">
        <w:tc>
          <w:tcPr>
            <w:tcW w:w="2490" w:type="pct"/>
          </w:tcPr>
          <w:p w14:paraId="7A031DEA" w14:textId="5B809434" w:rsidR="00C95A91" w:rsidRPr="001445D3" w:rsidRDefault="006864EE" w:rsidP="00C95A91">
            <w:pPr>
              <w:jc w:val="both"/>
              <w:rPr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Prerequisites</w:t>
            </w:r>
            <w:r w:rsidR="00C95A91" w:rsidRPr="001445D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D453D7">
              <w:t xml:space="preserve"> </w:t>
            </w:r>
            <w:r w:rsidR="00D453D7" w:rsidRPr="00D453D7">
              <w:rPr>
                <w:b/>
                <w:bCs/>
                <w:sz w:val="20"/>
                <w:szCs w:val="20"/>
                <w:lang w:val="en-GB"/>
              </w:rPr>
              <w:t>The student must have already taken the following subjects: Microeconomics, Macroeconomics, Financial Management, Business Mathematics</w:t>
            </w:r>
          </w:p>
          <w:p w14:paraId="649F87A0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10" w:type="pct"/>
          </w:tcPr>
          <w:p w14:paraId="5722FB70" w14:textId="77777777" w:rsidR="00C95A91" w:rsidRPr="001445D3" w:rsidRDefault="00EC72BB" w:rsidP="00EC72BB">
            <w:pPr>
              <w:pStyle w:val="Komentarotekstas"/>
              <w:rPr>
                <w:lang w:val="en-GB"/>
              </w:rPr>
            </w:pPr>
            <w:r w:rsidRPr="001445D3">
              <w:rPr>
                <w:b/>
                <w:lang w:val="en-GB"/>
              </w:rPr>
              <w:t>Additional requirements</w:t>
            </w:r>
            <w:r w:rsidR="00C95A91" w:rsidRPr="001445D3">
              <w:rPr>
                <w:b/>
                <w:bCs/>
                <w:lang w:val="en-GB"/>
              </w:rPr>
              <w:t xml:space="preserve"> (</w:t>
            </w:r>
            <w:r w:rsidR="00A96B17" w:rsidRPr="001445D3">
              <w:rPr>
                <w:b/>
                <w:bCs/>
                <w:lang w:val="en-GB"/>
              </w:rPr>
              <w:t>if any</w:t>
            </w:r>
            <w:r w:rsidR="00C95A91" w:rsidRPr="001445D3">
              <w:rPr>
                <w:b/>
                <w:bCs/>
                <w:lang w:val="en-GB"/>
              </w:rPr>
              <w:t>):</w:t>
            </w:r>
          </w:p>
          <w:p w14:paraId="7414CA41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06E89B8E" w14:textId="77777777" w:rsidR="00C95A91" w:rsidRPr="001445D3" w:rsidRDefault="00C95A91" w:rsidP="00C95A91">
      <w:pPr>
        <w:jc w:val="both"/>
        <w:rPr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91"/>
        <w:gridCol w:w="2491"/>
      </w:tblGrid>
      <w:tr w:rsidR="00C95A91" w:rsidRPr="001445D3" w14:paraId="0643C3D9" w14:textId="77777777" w:rsidTr="00C95A91">
        <w:tc>
          <w:tcPr>
            <w:tcW w:w="667" w:type="pct"/>
            <w:shd w:val="clear" w:color="auto" w:fill="E6E6E6"/>
          </w:tcPr>
          <w:p w14:paraId="24A44771" w14:textId="77777777" w:rsidR="00C95A91" w:rsidRPr="001445D3" w:rsidRDefault="00EC72BB" w:rsidP="00EC72BB">
            <w:pPr>
              <w:pStyle w:val="Komentarotekstas"/>
              <w:jc w:val="center"/>
              <w:rPr>
                <w:lang w:val="en-GB"/>
              </w:rPr>
            </w:pPr>
            <w:r w:rsidRPr="001445D3">
              <w:rPr>
                <w:b/>
                <w:szCs w:val="24"/>
                <w:lang w:val="en-GB"/>
              </w:rPr>
              <w:t>Course (module) volume in credits</w:t>
            </w:r>
          </w:p>
        </w:tc>
        <w:tc>
          <w:tcPr>
            <w:tcW w:w="667" w:type="pct"/>
            <w:shd w:val="clear" w:color="auto" w:fill="E6E6E6"/>
          </w:tcPr>
          <w:p w14:paraId="4D557E03" w14:textId="77777777" w:rsidR="00C95A91" w:rsidRPr="001445D3" w:rsidRDefault="00A96B17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Total s</w:t>
            </w:r>
            <w:r w:rsidR="006864EE" w:rsidRPr="001445D3">
              <w:rPr>
                <w:b/>
                <w:bCs/>
                <w:sz w:val="20"/>
                <w:szCs w:val="20"/>
                <w:lang w:val="en-GB"/>
              </w:rPr>
              <w:t>tudent’s workload</w:t>
            </w:r>
          </w:p>
        </w:tc>
        <w:tc>
          <w:tcPr>
            <w:tcW w:w="667" w:type="pct"/>
            <w:shd w:val="clear" w:color="auto" w:fill="E6E6E6"/>
          </w:tcPr>
          <w:p w14:paraId="63D00943" w14:textId="77777777" w:rsidR="00C95A91" w:rsidRPr="001445D3" w:rsidRDefault="006864E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Contact hours</w:t>
            </w:r>
          </w:p>
        </w:tc>
        <w:tc>
          <w:tcPr>
            <w:tcW w:w="667" w:type="pct"/>
            <w:shd w:val="clear" w:color="auto" w:fill="E6E6E6"/>
          </w:tcPr>
          <w:p w14:paraId="3F0036D1" w14:textId="77777777" w:rsidR="00C95A91" w:rsidRPr="001445D3" w:rsidRDefault="00A96B17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Self-study hours</w:t>
            </w:r>
          </w:p>
        </w:tc>
      </w:tr>
      <w:tr w:rsidR="00C95A91" w:rsidRPr="001445D3" w14:paraId="5E7FDDA1" w14:textId="77777777" w:rsidTr="00C95A91">
        <w:tc>
          <w:tcPr>
            <w:tcW w:w="667" w:type="pct"/>
          </w:tcPr>
          <w:p w14:paraId="70BD2017" w14:textId="77777777" w:rsidR="00C95A91" w:rsidRPr="001445D3" w:rsidRDefault="00143259" w:rsidP="0014325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667" w:type="pct"/>
          </w:tcPr>
          <w:p w14:paraId="2284FE67" w14:textId="77777777" w:rsidR="00C95A91" w:rsidRPr="001445D3" w:rsidRDefault="00143259" w:rsidP="0014325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130</w:t>
            </w:r>
          </w:p>
        </w:tc>
        <w:tc>
          <w:tcPr>
            <w:tcW w:w="667" w:type="pct"/>
          </w:tcPr>
          <w:p w14:paraId="63208C8F" w14:textId="77777777" w:rsidR="00C95A91" w:rsidRPr="001445D3" w:rsidRDefault="00E36306" w:rsidP="0014325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="001531EF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67" w:type="pct"/>
          </w:tcPr>
          <w:p w14:paraId="72BD2D4D" w14:textId="77777777" w:rsidR="00C95A91" w:rsidRPr="001445D3" w:rsidRDefault="00E36306" w:rsidP="0014325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  <w:r w:rsidR="001531EF">
              <w:rPr>
                <w:sz w:val="20"/>
                <w:szCs w:val="20"/>
                <w:lang w:val="en-GB"/>
              </w:rPr>
              <w:t>8</w:t>
            </w:r>
          </w:p>
        </w:tc>
      </w:tr>
    </w:tbl>
    <w:p w14:paraId="6A6650AA" w14:textId="77777777" w:rsidR="00C95A91" w:rsidRPr="001445D3" w:rsidRDefault="00C95A91" w:rsidP="00C95A91">
      <w:pPr>
        <w:jc w:val="both"/>
        <w:rPr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2779"/>
        <w:gridCol w:w="2847"/>
      </w:tblGrid>
      <w:tr w:rsidR="00C95A91" w:rsidRPr="001445D3" w14:paraId="6C760E5D" w14:textId="77777777" w:rsidTr="001934AB">
        <w:tc>
          <w:tcPr>
            <w:tcW w:w="5000" w:type="pct"/>
            <w:gridSpan w:val="3"/>
            <w:shd w:val="clear" w:color="auto" w:fill="E6E6E6"/>
            <w:vAlign w:val="center"/>
          </w:tcPr>
          <w:p w14:paraId="7231682A" w14:textId="77777777" w:rsidR="00C95A91" w:rsidRPr="001445D3" w:rsidRDefault="006864E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Purpose of the course unit</w:t>
            </w:r>
            <w:r w:rsidR="00A96B17" w:rsidRPr="001445D3">
              <w:rPr>
                <w:b/>
                <w:bCs/>
                <w:sz w:val="20"/>
                <w:szCs w:val="20"/>
                <w:lang w:val="en-GB"/>
              </w:rPr>
              <w:t xml:space="preserve"> (module)</w:t>
            </w:r>
            <w:r w:rsidRPr="001445D3">
              <w:rPr>
                <w:b/>
                <w:bCs/>
                <w:sz w:val="20"/>
                <w:szCs w:val="20"/>
                <w:lang w:val="en-GB"/>
              </w:rPr>
              <w:t>: programme competences to be developed</w:t>
            </w:r>
          </w:p>
        </w:tc>
      </w:tr>
      <w:tr w:rsidR="00C95A91" w:rsidRPr="001445D3" w14:paraId="53F5C8E1" w14:textId="77777777" w:rsidTr="001934AB">
        <w:tc>
          <w:tcPr>
            <w:tcW w:w="5000" w:type="pct"/>
            <w:gridSpan w:val="3"/>
            <w:vAlign w:val="center"/>
          </w:tcPr>
          <w:p w14:paraId="3340B1E7" w14:textId="0E27CE96" w:rsidR="00C95A91" w:rsidRPr="001445D3" w:rsidRDefault="00D453D7" w:rsidP="00D453D7">
            <w:pPr>
              <w:rPr>
                <w:sz w:val="20"/>
                <w:szCs w:val="20"/>
                <w:lang w:val="en-GB"/>
              </w:rPr>
            </w:pPr>
            <w:bookmarkStart w:id="1" w:name="_Hlk125015443"/>
            <w:r w:rsidRPr="00D453D7">
              <w:t xml:space="preserve">Purpose of the course </w:t>
            </w:r>
            <w:r>
              <w:t xml:space="preserve">is </w:t>
            </w:r>
            <w:proofErr w:type="gramStart"/>
            <w:r>
              <w:t>d</w:t>
            </w:r>
            <w:r w:rsidRPr="00DA3978">
              <w:t>evelop</w:t>
            </w:r>
            <w:proofErr w:type="gramEnd"/>
            <w:r w:rsidRPr="00DA3978">
              <w:t xml:space="preserve"> theoretical and practical financial management skills to </w:t>
            </w:r>
            <w:r>
              <w:rPr>
                <w:sz w:val="23"/>
                <w:szCs w:val="23"/>
              </w:rPr>
              <w:t xml:space="preserve">understand the nature and operation of the international financial system. </w:t>
            </w:r>
            <w:r w:rsidRPr="00C6062E">
              <w:rPr>
                <w:sz w:val="23"/>
                <w:szCs w:val="23"/>
              </w:rPr>
              <w:t>Form practical skills, how to apply foreign exchange market’s instruments in the multinational business</w:t>
            </w:r>
            <w:r w:rsidR="00802B93">
              <w:rPr>
                <w:sz w:val="23"/>
                <w:szCs w:val="23"/>
              </w:rPr>
              <w:t xml:space="preserve">, how </w:t>
            </w:r>
            <w:r w:rsidR="00802B93" w:rsidRPr="00802B93">
              <w:rPr>
                <w:sz w:val="23"/>
                <w:szCs w:val="23"/>
              </w:rPr>
              <w:t xml:space="preserve">to measure foreign exchange exposure and to manage it </w:t>
            </w:r>
            <w:proofErr w:type="gramStart"/>
            <w:r w:rsidR="00802B93" w:rsidRPr="00802B93">
              <w:rPr>
                <w:sz w:val="23"/>
                <w:szCs w:val="23"/>
              </w:rPr>
              <w:t>so as to</w:t>
            </w:r>
            <w:proofErr w:type="gramEnd"/>
            <w:r w:rsidR="00802B93" w:rsidRPr="00802B93">
              <w:rPr>
                <w:sz w:val="23"/>
                <w:szCs w:val="23"/>
              </w:rPr>
              <w:t xml:space="preserve"> maximize the profitability, net cash flow, and market value of the firm.</w:t>
            </w:r>
            <w:bookmarkEnd w:id="1"/>
          </w:p>
        </w:tc>
      </w:tr>
      <w:tr w:rsidR="00C95A91" w:rsidRPr="001445D3" w14:paraId="23F24474" w14:textId="77777777" w:rsidTr="001934AB">
        <w:tc>
          <w:tcPr>
            <w:tcW w:w="2176" w:type="pct"/>
            <w:shd w:val="clear" w:color="auto" w:fill="E6E6E6"/>
          </w:tcPr>
          <w:p w14:paraId="1728310A" w14:textId="77777777" w:rsidR="00C95A91" w:rsidRPr="001445D3" w:rsidRDefault="006864E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Learning outcomes of the course unit</w:t>
            </w:r>
            <w:r w:rsidR="00A96B17" w:rsidRPr="001445D3">
              <w:rPr>
                <w:b/>
                <w:bCs/>
                <w:sz w:val="20"/>
                <w:szCs w:val="20"/>
                <w:lang w:val="en-GB"/>
              </w:rPr>
              <w:t xml:space="preserve"> (module)</w:t>
            </w:r>
          </w:p>
        </w:tc>
        <w:tc>
          <w:tcPr>
            <w:tcW w:w="1395" w:type="pct"/>
            <w:shd w:val="clear" w:color="auto" w:fill="E6E6E6"/>
          </w:tcPr>
          <w:p w14:paraId="7BEE032D" w14:textId="77777777" w:rsidR="00C95A91" w:rsidRPr="001445D3" w:rsidRDefault="006864E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Teaching and learning methods</w:t>
            </w:r>
          </w:p>
        </w:tc>
        <w:tc>
          <w:tcPr>
            <w:tcW w:w="1429" w:type="pct"/>
            <w:shd w:val="clear" w:color="auto" w:fill="E6E6E6"/>
          </w:tcPr>
          <w:p w14:paraId="74FCDE8A" w14:textId="77777777" w:rsidR="00C95A91" w:rsidRPr="001445D3" w:rsidRDefault="006864E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Assessment methods</w:t>
            </w:r>
          </w:p>
        </w:tc>
      </w:tr>
      <w:tr w:rsidR="00AE28D2" w:rsidRPr="001445D3" w14:paraId="55089FD3" w14:textId="77777777" w:rsidTr="001934AB">
        <w:tc>
          <w:tcPr>
            <w:tcW w:w="2176" w:type="pct"/>
          </w:tcPr>
          <w:p w14:paraId="3F397173" w14:textId="3CB1102D" w:rsidR="00AE28D2" w:rsidRPr="00D453D7" w:rsidRDefault="00AE28D2" w:rsidP="00D453D7">
            <w:pPr>
              <w:rPr>
                <w:bCs/>
                <w:i/>
              </w:rPr>
            </w:pPr>
            <w:r w:rsidRPr="001C00AC">
              <w:rPr>
                <w:bCs/>
              </w:rPr>
              <w:t xml:space="preserve">Ability </w:t>
            </w:r>
            <w:bookmarkStart w:id="2" w:name="_Hlk125015730"/>
            <w:r w:rsidRPr="001C00AC">
              <w:rPr>
                <w:bCs/>
              </w:rPr>
              <w:t>to analyze the country's balance of payments and to assess the impact of changes in the domestic currency exchange rate and other macroeconomic indicators</w:t>
            </w:r>
            <w:bookmarkEnd w:id="2"/>
          </w:p>
        </w:tc>
        <w:tc>
          <w:tcPr>
            <w:tcW w:w="1395" w:type="pct"/>
            <w:vMerge w:val="restart"/>
          </w:tcPr>
          <w:p w14:paraId="19C21030" w14:textId="205C8F26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  <w:r w:rsidRPr="000E06E7">
              <w:rPr>
                <w:bCs/>
              </w:rPr>
              <w:t>Theoretical material is presented and explained to students during lectures. At home and during exercises (seminars), students learn theoretical material and acquire practical skills by solving problems-tasks and analyzing cases</w:t>
            </w:r>
          </w:p>
        </w:tc>
        <w:tc>
          <w:tcPr>
            <w:tcW w:w="1429" w:type="pct"/>
            <w:vMerge w:val="restart"/>
          </w:tcPr>
          <w:p w14:paraId="44F3B8E2" w14:textId="1375AA5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  <w:r w:rsidRPr="000E06E7">
              <w:rPr>
                <w:sz w:val="20"/>
                <w:szCs w:val="20"/>
                <w:lang w:val="en-GB"/>
              </w:rPr>
              <w:t>Theoretical and practical knowledge is assessed during the exam.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1A22E4">
              <w:rPr>
                <w:sz w:val="20"/>
                <w:szCs w:val="20"/>
                <w:lang w:val="en-GB"/>
              </w:rPr>
              <w:t>The ability to solve specific tasks is evaluated in practical sessions</w:t>
            </w:r>
          </w:p>
        </w:tc>
      </w:tr>
      <w:tr w:rsidR="00AE28D2" w:rsidRPr="001445D3" w14:paraId="5B7B9B48" w14:textId="77777777" w:rsidTr="001934AB">
        <w:tc>
          <w:tcPr>
            <w:tcW w:w="2176" w:type="pct"/>
          </w:tcPr>
          <w:p w14:paraId="57F12EEA" w14:textId="2E321E2F" w:rsidR="00AE28D2" w:rsidRPr="001445D3" w:rsidRDefault="00AE28D2" w:rsidP="000E06E7">
            <w:pPr>
              <w:tabs>
                <w:tab w:val="left" w:pos="-2988"/>
              </w:tabs>
              <w:rPr>
                <w:sz w:val="20"/>
                <w:szCs w:val="20"/>
                <w:lang w:val="en-GB"/>
              </w:rPr>
            </w:pPr>
            <w:r>
              <w:rPr>
                <w:bCs/>
              </w:rPr>
              <w:t>A</w:t>
            </w:r>
            <w:r w:rsidRPr="001C00AC">
              <w:rPr>
                <w:bCs/>
              </w:rPr>
              <w:t xml:space="preserve">bility </w:t>
            </w:r>
            <w:bookmarkStart w:id="3" w:name="_Hlk125015750"/>
            <w:r w:rsidRPr="001C00AC">
              <w:rPr>
                <w:bCs/>
              </w:rPr>
              <w:t xml:space="preserve">to </w:t>
            </w:r>
            <w:r>
              <w:rPr>
                <w:bCs/>
              </w:rPr>
              <w:t>forecast</w:t>
            </w:r>
            <w:r w:rsidRPr="001C00AC">
              <w:rPr>
                <w:bCs/>
              </w:rPr>
              <w:t xml:space="preserve"> exchange rate changes</w:t>
            </w:r>
            <w:r>
              <w:rPr>
                <w:bCs/>
              </w:rPr>
              <w:t xml:space="preserve"> using theoretical knowledge and public information sources</w:t>
            </w:r>
            <w:bookmarkEnd w:id="3"/>
          </w:p>
        </w:tc>
        <w:tc>
          <w:tcPr>
            <w:tcW w:w="1395" w:type="pct"/>
            <w:vMerge/>
          </w:tcPr>
          <w:p w14:paraId="5AA1BE4B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</w:tcPr>
          <w:p w14:paraId="0A0E23AF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AE28D2" w:rsidRPr="001445D3" w14:paraId="1265CCFD" w14:textId="77777777" w:rsidTr="001934AB">
        <w:tc>
          <w:tcPr>
            <w:tcW w:w="2176" w:type="pct"/>
          </w:tcPr>
          <w:p w14:paraId="328A8EE0" w14:textId="42F48577" w:rsidR="00AE28D2" w:rsidRPr="001445D3" w:rsidRDefault="00AE28D2" w:rsidP="000E06E7">
            <w:pPr>
              <w:tabs>
                <w:tab w:val="left" w:pos="-2988"/>
              </w:tabs>
              <w:rPr>
                <w:sz w:val="20"/>
                <w:szCs w:val="20"/>
                <w:lang w:val="en-GB"/>
              </w:rPr>
            </w:pPr>
            <w:r w:rsidRPr="00236C35">
              <w:rPr>
                <w:bCs/>
              </w:rPr>
              <w:t>Knowledge of the foreign exchange markets</w:t>
            </w:r>
            <w:r>
              <w:rPr>
                <w:bCs/>
              </w:rPr>
              <w:t xml:space="preserve">. Ability </w:t>
            </w:r>
            <w:bookmarkStart w:id="4" w:name="_Hlk125015779"/>
            <w:r w:rsidRPr="00236C35">
              <w:rPr>
                <w:bCs/>
              </w:rPr>
              <w:t xml:space="preserve">to calculate cross-currency exchange rates based on market information </w:t>
            </w:r>
            <w:bookmarkEnd w:id="4"/>
          </w:p>
        </w:tc>
        <w:tc>
          <w:tcPr>
            <w:tcW w:w="1395" w:type="pct"/>
            <w:vMerge/>
          </w:tcPr>
          <w:p w14:paraId="0897F022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</w:tcPr>
          <w:p w14:paraId="47E40A23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AE28D2" w:rsidRPr="001445D3" w14:paraId="07523D74" w14:textId="77777777" w:rsidTr="001934AB">
        <w:tc>
          <w:tcPr>
            <w:tcW w:w="2176" w:type="pct"/>
          </w:tcPr>
          <w:p w14:paraId="500A9D78" w14:textId="5F6B15BB" w:rsidR="00AE28D2" w:rsidRPr="001445D3" w:rsidRDefault="00AE28D2" w:rsidP="000E06E7">
            <w:pPr>
              <w:tabs>
                <w:tab w:val="left" w:pos="-2988"/>
              </w:tabs>
              <w:rPr>
                <w:sz w:val="20"/>
                <w:szCs w:val="20"/>
                <w:lang w:val="en-GB"/>
              </w:rPr>
            </w:pPr>
            <w:r w:rsidRPr="00DA3978">
              <w:rPr>
                <w:iCs/>
              </w:rPr>
              <w:t xml:space="preserve">Ability </w:t>
            </w:r>
            <w:bookmarkStart w:id="5" w:name="_Hlk125015799"/>
            <w:r w:rsidRPr="00DA3978">
              <w:rPr>
                <w:iCs/>
              </w:rPr>
              <w:t xml:space="preserve">to </w:t>
            </w:r>
            <w:r>
              <w:rPr>
                <w:sz w:val="23"/>
                <w:szCs w:val="23"/>
              </w:rPr>
              <w:t xml:space="preserve">use the derivative instruments, including forwards, futures, options, and </w:t>
            </w:r>
            <w:bookmarkStart w:id="6" w:name="_Hlk125015814"/>
            <w:bookmarkEnd w:id="5"/>
            <w:r>
              <w:rPr>
                <w:sz w:val="23"/>
                <w:szCs w:val="23"/>
              </w:rPr>
              <w:lastRenderedPageBreak/>
              <w:t>swaps</w:t>
            </w:r>
            <w:r>
              <w:rPr>
                <w:bCs/>
              </w:rPr>
              <w:t xml:space="preserve"> m</w:t>
            </w:r>
            <w:r w:rsidRPr="00F61C72">
              <w:rPr>
                <w:bCs/>
              </w:rPr>
              <w:t>anag</w:t>
            </w:r>
            <w:r>
              <w:rPr>
                <w:bCs/>
              </w:rPr>
              <w:t>ing f</w:t>
            </w:r>
            <w:r w:rsidRPr="00F61C72">
              <w:rPr>
                <w:bCs/>
              </w:rPr>
              <w:t>oreign exchange exposure</w:t>
            </w:r>
            <w:bookmarkEnd w:id="6"/>
          </w:p>
        </w:tc>
        <w:tc>
          <w:tcPr>
            <w:tcW w:w="1395" w:type="pct"/>
            <w:vMerge/>
          </w:tcPr>
          <w:p w14:paraId="4247E241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</w:tcPr>
          <w:p w14:paraId="5ABFB366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AE28D2" w:rsidRPr="001445D3" w14:paraId="46A5F45F" w14:textId="77777777" w:rsidTr="001934AB">
        <w:tc>
          <w:tcPr>
            <w:tcW w:w="2176" w:type="pct"/>
          </w:tcPr>
          <w:p w14:paraId="66EA7823" w14:textId="1A05B687" w:rsidR="00AE28D2" w:rsidRPr="001445D3" w:rsidRDefault="00AE28D2" w:rsidP="00C95A91">
            <w:pPr>
              <w:tabs>
                <w:tab w:val="left" w:pos="-2988"/>
              </w:tabs>
              <w:rPr>
                <w:sz w:val="20"/>
                <w:szCs w:val="20"/>
                <w:lang w:val="en-GB"/>
              </w:rPr>
            </w:pPr>
            <w:r w:rsidRPr="00DA3978">
              <w:rPr>
                <w:bCs/>
              </w:rPr>
              <w:t xml:space="preserve">Ability </w:t>
            </w:r>
            <w:bookmarkStart w:id="7" w:name="_Hlk125015829"/>
            <w:r w:rsidRPr="00DA3978">
              <w:rPr>
                <w:bCs/>
              </w:rPr>
              <w:t xml:space="preserve">to </w:t>
            </w:r>
            <w:r>
              <w:rPr>
                <w:bCs/>
              </w:rPr>
              <w:t xml:space="preserve">measure </w:t>
            </w:r>
            <w:proofErr w:type="gramStart"/>
            <w:r>
              <w:rPr>
                <w:bCs/>
              </w:rPr>
              <w:t>transaction  exposure</w:t>
            </w:r>
            <w:proofErr w:type="gramEnd"/>
            <w:r w:rsidRPr="00970831">
              <w:rPr>
                <w:bCs/>
              </w:rPr>
              <w:t xml:space="preserve"> and select the most favorable </w:t>
            </w:r>
            <w:r>
              <w:rPr>
                <w:bCs/>
              </w:rPr>
              <w:t>hedging</w:t>
            </w:r>
            <w:r w:rsidRPr="00970831">
              <w:rPr>
                <w:bCs/>
              </w:rPr>
              <w:t xml:space="preserve"> policy</w:t>
            </w:r>
            <w:r w:rsidRPr="00DA3978">
              <w:rPr>
                <w:bCs/>
              </w:rPr>
              <w:t>.</w:t>
            </w:r>
            <w:bookmarkEnd w:id="7"/>
          </w:p>
        </w:tc>
        <w:tc>
          <w:tcPr>
            <w:tcW w:w="1395" w:type="pct"/>
            <w:vMerge/>
          </w:tcPr>
          <w:p w14:paraId="4C0FBA25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</w:tcPr>
          <w:p w14:paraId="1264F8B5" w14:textId="77777777" w:rsidR="00AE28D2" w:rsidRPr="001445D3" w:rsidRDefault="00AE28D2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0E06E7" w:rsidRPr="001445D3" w14:paraId="588D5417" w14:textId="77777777" w:rsidTr="001934AB">
        <w:tc>
          <w:tcPr>
            <w:tcW w:w="2176" w:type="pct"/>
          </w:tcPr>
          <w:p w14:paraId="1008F9E6" w14:textId="77777777" w:rsidR="000E06E7" w:rsidRPr="001445D3" w:rsidRDefault="000E06E7" w:rsidP="00C95A91">
            <w:pPr>
              <w:tabs>
                <w:tab w:val="left" w:pos="-2988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395" w:type="pct"/>
          </w:tcPr>
          <w:p w14:paraId="4367B96E" w14:textId="77777777" w:rsidR="000E06E7" w:rsidRPr="001445D3" w:rsidRDefault="000E06E7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</w:tcPr>
          <w:p w14:paraId="7D4198BC" w14:textId="77777777" w:rsidR="000E06E7" w:rsidRPr="001445D3" w:rsidRDefault="000E06E7" w:rsidP="00C95A91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</w:tbl>
    <w:p w14:paraId="679CB853" w14:textId="77777777" w:rsidR="00C95A91" w:rsidRPr="001445D3" w:rsidRDefault="00C95A91" w:rsidP="00C95A91">
      <w:pPr>
        <w:jc w:val="both"/>
        <w:rPr>
          <w:sz w:val="20"/>
          <w:szCs w:val="20"/>
          <w:lang w:val="en-GB"/>
        </w:rPr>
      </w:pPr>
    </w:p>
    <w:tbl>
      <w:tblPr>
        <w:tblW w:w="50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7"/>
        <w:gridCol w:w="433"/>
        <w:gridCol w:w="433"/>
        <w:gridCol w:w="432"/>
        <w:gridCol w:w="432"/>
        <w:gridCol w:w="432"/>
        <w:gridCol w:w="432"/>
        <w:gridCol w:w="436"/>
        <w:gridCol w:w="529"/>
        <w:gridCol w:w="2112"/>
        <w:gridCol w:w="8"/>
      </w:tblGrid>
      <w:tr w:rsidR="00C95A91" w:rsidRPr="001445D3" w14:paraId="7B8C0836" w14:textId="77777777" w:rsidTr="006A3425">
        <w:trPr>
          <w:cantSplit/>
        </w:trPr>
        <w:tc>
          <w:tcPr>
            <w:tcW w:w="2185" w:type="pct"/>
            <w:vMerge w:val="restart"/>
            <w:shd w:val="clear" w:color="auto" w:fill="E6E6E6"/>
            <w:vAlign w:val="center"/>
          </w:tcPr>
          <w:p w14:paraId="025843DD" w14:textId="77777777" w:rsidR="00C95A91" w:rsidRPr="001445D3" w:rsidRDefault="00A96B17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6864EE" w:rsidRPr="001445D3">
              <w:rPr>
                <w:b/>
                <w:bCs/>
                <w:sz w:val="20"/>
                <w:szCs w:val="20"/>
                <w:lang w:val="en-GB"/>
              </w:rPr>
              <w:t>ontent: breakdown of the topics</w:t>
            </w:r>
          </w:p>
        </w:tc>
        <w:tc>
          <w:tcPr>
            <w:tcW w:w="1502" w:type="pct"/>
            <w:gridSpan w:val="7"/>
            <w:shd w:val="clear" w:color="auto" w:fill="E6E6E6"/>
            <w:vAlign w:val="center"/>
          </w:tcPr>
          <w:p w14:paraId="0F30247E" w14:textId="77777777" w:rsidR="00C95A91" w:rsidRPr="001445D3" w:rsidRDefault="00A96B17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Contact hours</w:t>
            </w:r>
            <w:r w:rsidR="00C95A91" w:rsidRPr="001445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13" w:type="pct"/>
            <w:gridSpan w:val="3"/>
            <w:shd w:val="clear" w:color="auto" w:fill="E6E6E6"/>
            <w:vAlign w:val="center"/>
          </w:tcPr>
          <w:p w14:paraId="44F4B9E3" w14:textId="77777777" w:rsidR="00C95A91" w:rsidRPr="001445D3" w:rsidRDefault="00394B1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Self-study</w:t>
            </w:r>
            <w:r w:rsidR="006864EE" w:rsidRPr="001445D3">
              <w:rPr>
                <w:b/>
                <w:bCs/>
                <w:sz w:val="20"/>
                <w:szCs w:val="20"/>
                <w:lang w:val="en-GB"/>
              </w:rPr>
              <w:t xml:space="preserve"> work: time and assignments</w:t>
            </w:r>
          </w:p>
        </w:tc>
      </w:tr>
      <w:tr w:rsidR="00C95A91" w:rsidRPr="001445D3" w14:paraId="2CEE7778" w14:textId="77777777" w:rsidTr="006A3425">
        <w:trPr>
          <w:gridAfter w:val="1"/>
          <w:wAfter w:w="3" w:type="pct"/>
          <w:cantSplit/>
          <w:trHeight w:val="1686"/>
        </w:trPr>
        <w:tc>
          <w:tcPr>
            <w:tcW w:w="2185" w:type="pct"/>
            <w:vMerge/>
            <w:vAlign w:val="center"/>
          </w:tcPr>
          <w:p w14:paraId="4623FC26" w14:textId="77777777" w:rsidR="00C95A91" w:rsidRPr="001445D3" w:rsidRDefault="00C95A91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5" w:type="pct"/>
            <w:textDirection w:val="btLr"/>
            <w:vAlign w:val="center"/>
          </w:tcPr>
          <w:p w14:paraId="6D8D1372" w14:textId="77777777" w:rsidR="00C95A91" w:rsidRPr="001445D3" w:rsidRDefault="006864EE" w:rsidP="00C95A91">
            <w:pPr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215" w:type="pct"/>
            <w:textDirection w:val="btLr"/>
            <w:vAlign w:val="center"/>
          </w:tcPr>
          <w:p w14:paraId="582FEDDB" w14:textId="77777777" w:rsidR="00C95A91" w:rsidRPr="001445D3" w:rsidRDefault="006864EE" w:rsidP="00C95A91">
            <w:pPr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>Tutorials</w:t>
            </w:r>
          </w:p>
        </w:tc>
        <w:tc>
          <w:tcPr>
            <w:tcW w:w="214" w:type="pct"/>
            <w:textDirection w:val="btLr"/>
            <w:vAlign w:val="center"/>
          </w:tcPr>
          <w:p w14:paraId="41C4C4B3" w14:textId="77777777" w:rsidR="00C95A91" w:rsidRPr="001445D3" w:rsidRDefault="006864EE" w:rsidP="00C95A91">
            <w:pPr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214" w:type="pct"/>
            <w:textDirection w:val="btLr"/>
            <w:vAlign w:val="center"/>
          </w:tcPr>
          <w:p w14:paraId="34BACE36" w14:textId="77777777" w:rsidR="00C95A91" w:rsidRPr="001445D3" w:rsidRDefault="00A96B17" w:rsidP="00C95A91">
            <w:pPr>
              <w:rPr>
                <w:sz w:val="20"/>
                <w:szCs w:val="20"/>
                <w:lang w:val="en-GB"/>
              </w:rPr>
            </w:pPr>
            <w:r w:rsidRPr="001445D3">
              <w:rPr>
                <w:lang w:val="en-GB"/>
              </w:rPr>
              <w:t xml:space="preserve"> </w:t>
            </w:r>
            <w:r w:rsidRPr="001445D3">
              <w:rPr>
                <w:sz w:val="20"/>
                <w:szCs w:val="20"/>
                <w:lang w:val="en-GB"/>
              </w:rPr>
              <w:t>Exercises</w:t>
            </w:r>
          </w:p>
        </w:tc>
        <w:tc>
          <w:tcPr>
            <w:tcW w:w="214" w:type="pct"/>
            <w:textDirection w:val="btLr"/>
            <w:vAlign w:val="center"/>
          </w:tcPr>
          <w:p w14:paraId="7D85B685" w14:textId="77777777" w:rsidR="00C95A91" w:rsidRPr="001445D3" w:rsidRDefault="006864EE" w:rsidP="00C95A91">
            <w:pPr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>Laboratory work</w:t>
            </w:r>
          </w:p>
        </w:tc>
        <w:tc>
          <w:tcPr>
            <w:tcW w:w="214" w:type="pct"/>
            <w:textDirection w:val="btLr"/>
            <w:vAlign w:val="center"/>
          </w:tcPr>
          <w:p w14:paraId="0DB80268" w14:textId="77777777" w:rsidR="00C95A91" w:rsidRPr="001445D3" w:rsidRDefault="006864EE" w:rsidP="00C95A91">
            <w:pPr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>Internship/work placement</w:t>
            </w:r>
          </w:p>
        </w:tc>
        <w:tc>
          <w:tcPr>
            <w:tcW w:w="216" w:type="pct"/>
            <w:textDirection w:val="btLr"/>
            <w:vAlign w:val="center"/>
          </w:tcPr>
          <w:p w14:paraId="67410D72" w14:textId="77777777" w:rsidR="00C95A91" w:rsidRPr="001445D3" w:rsidRDefault="006864EE" w:rsidP="00C95A9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Contact hours</w:t>
            </w:r>
          </w:p>
        </w:tc>
        <w:tc>
          <w:tcPr>
            <w:tcW w:w="262" w:type="pct"/>
            <w:textDirection w:val="btLr"/>
            <w:vAlign w:val="center"/>
          </w:tcPr>
          <w:p w14:paraId="45ADBB0F" w14:textId="77777777" w:rsidR="00C95A91" w:rsidRPr="001445D3" w:rsidRDefault="00A96B17" w:rsidP="00C95A9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Self-study hours</w:t>
            </w:r>
          </w:p>
        </w:tc>
        <w:tc>
          <w:tcPr>
            <w:tcW w:w="1047" w:type="pct"/>
            <w:vAlign w:val="center"/>
          </w:tcPr>
          <w:p w14:paraId="34EE16D3" w14:textId="77777777" w:rsidR="00C95A91" w:rsidRPr="001445D3" w:rsidRDefault="006864EE" w:rsidP="00C95A9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Assignments</w:t>
            </w:r>
          </w:p>
        </w:tc>
      </w:tr>
      <w:tr w:rsidR="00C95A91" w:rsidRPr="001445D3" w14:paraId="485A3A84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221FFC62" w14:textId="1B32EB13" w:rsidR="00C95A91" w:rsidRPr="001445D3" w:rsidRDefault="00C95A91" w:rsidP="00CF6C7D">
            <w:pPr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>1.</w:t>
            </w:r>
            <w:r w:rsidR="00CF6C7D">
              <w:rPr>
                <w:sz w:val="20"/>
                <w:szCs w:val="20"/>
                <w:lang w:val="en-GB"/>
              </w:rPr>
              <w:t xml:space="preserve"> </w:t>
            </w:r>
            <w:r w:rsidR="00CF6C7D" w:rsidRPr="00CF6C7D">
              <w:rPr>
                <w:sz w:val="20"/>
                <w:szCs w:val="20"/>
                <w:lang w:val="en-GB"/>
              </w:rPr>
              <w:t>Multinational Financial Management: Opportunities and Challenges</w:t>
            </w:r>
          </w:p>
        </w:tc>
        <w:tc>
          <w:tcPr>
            <w:tcW w:w="215" w:type="pct"/>
          </w:tcPr>
          <w:p w14:paraId="40220EB3" w14:textId="44D5D296" w:rsidR="00C95A91" w:rsidRPr="001445D3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15" w:type="pct"/>
          </w:tcPr>
          <w:p w14:paraId="759AAD5C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49F99570" w14:textId="5481888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06E6BCA3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5CDF6F9D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02C9AEEF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E48B296" w14:textId="55EA11DF" w:rsidR="00C95A91" w:rsidRPr="001445D3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2" w:type="pct"/>
          </w:tcPr>
          <w:p w14:paraId="15F7DAF8" w14:textId="228137EC" w:rsidR="00C95A91" w:rsidRPr="001445D3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47" w:type="pct"/>
          </w:tcPr>
          <w:p w14:paraId="60982898" w14:textId="142CE4C3" w:rsidR="00C95A91" w:rsidRPr="001445D3" w:rsidRDefault="009A33A3" w:rsidP="009020D6">
            <w:pPr>
              <w:rPr>
                <w:sz w:val="20"/>
                <w:szCs w:val="20"/>
                <w:lang w:val="en-GB"/>
              </w:rPr>
            </w:pPr>
            <w:r w:rsidRPr="009A33A3">
              <w:rPr>
                <w:sz w:val="20"/>
                <w:szCs w:val="20"/>
                <w:lang w:val="en-GB"/>
              </w:rPr>
              <w:t>Review of test questions</w:t>
            </w:r>
          </w:p>
        </w:tc>
      </w:tr>
      <w:tr w:rsidR="00C95A91" w:rsidRPr="001445D3" w14:paraId="06FEABB2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00363D2E" w14:textId="67E6B695" w:rsidR="00C95A91" w:rsidRPr="001445D3" w:rsidRDefault="00C95A91" w:rsidP="00B7198E">
            <w:pPr>
              <w:jc w:val="both"/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 xml:space="preserve">2. </w:t>
            </w:r>
            <w:r w:rsidR="009A33A3" w:rsidRPr="009A33A3">
              <w:rPr>
                <w:sz w:val="20"/>
                <w:szCs w:val="20"/>
                <w:lang w:val="en-GB"/>
              </w:rPr>
              <w:t>The International Monetary System</w:t>
            </w:r>
          </w:p>
        </w:tc>
        <w:tc>
          <w:tcPr>
            <w:tcW w:w="215" w:type="pct"/>
          </w:tcPr>
          <w:p w14:paraId="3BD5C023" w14:textId="646C00C5" w:rsidR="00C95A91" w:rsidRPr="001445D3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15" w:type="pct"/>
          </w:tcPr>
          <w:p w14:paraId="1238E1ED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2B3FEF7B" w14:textId="1E666E9E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4ED305DE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1094FABB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3E638CAF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C18EA9F" w14:textId="4C76BDB6" w:rsidR="00C95A91" w:rsidRPr="001445D3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2" w:type="pct"/>
          </w:tcPr>
          <w:p w14:paraId="32ED8F75" w14:textId="24261C09" w:rsidR="00C95A91" w:rsidRPr="001445D3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47" w:type="pct"/>
          </w:tcPr>
          <w:p w14:paraId="5EA55019" w14:textId="38FFB556" w:rsidR="00C95A91" w:rsidRPr="001445D3" w:rsidRDefault="009A33A3" w:rsidP="009020D6">
            <w:pPr>
              <w:rPr>
                <w:sz w:val="20"/>
                <w:szCs w:val="20"/>
                <w:lang w:val="en-GB"/>
              </w:rPr>
            </w:pPr>
            <w:r w:rsidRPr="009A33A3">
              <w:rPr>
                <w:sz w:val="20"/>
                <w:szCs w:val="20"/>
                <w:lang w:val="en-GB"/>
              </w:rPr>
              <w:t>Review of test questions</w:t>
            </w:r>
          </w:p>
        </w:tc>
      </w:tr>
      <w:tr w:rsidR="00C95A91" w:rsidRPr="001445D3" w14:paraId="642DD20E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6ABEB81F" w14:textId="5AAFFD7B" w:rsidR="00C95A91" w:rsidRPr="001445D3" w:rsidRDefault="00C95A91" w:rsidP="00B7198E">
            <w:pPr>
              <w:jc w:val="both"/>
              <w:rPr>
                <w:sz w:val="20"/>
                <w:szCs w:val="20"/>
                <w:lang w:val="en-GB"/>
              </w:rPr>
            </w:pPr>
            <w:r w:rsidRPr="001445D3">
              <w:rPr>
                <w:sz w:val="20"/>
                <w:szCs w:val="20"/>
                <w:lang w:val="en-GB"/>
              </w:rPr>
              <w:t xml:space="preserve">3. </w:t>
            </w:r>
            <w:r w:rsidR="00B7198E" w:rsidRPr="00B7198E">
              <w:rPr>
                <w:sz w:val="20"/>
                <w:szCs w:val="20"/>
                <w:lang w:val="en-GB"/>
              </w:rPr>
              <w:t>The Balance of Payments</w:t>
            </w:r>
          </w:p>
        </w:tc>
        <w:tc>
          <w:tcPr>
            <w:tcW w:w="215" w:type="pct"/>
          </w:tcPr>
          <w:p w14:paraId="31AA7FDD" w14:textId="0C6BA9C3" w:rsidR="00C95A91" w:rsidRPr="001445D3" w:rsidRDefault="00026101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15" w:type="pct"/>
          </w:tcPr>
          <w:p w14:paraId="74F80BC3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6AE826CE" w14:textId="2187147D" w:rsidR="00C95A91" w:rsidRPr="001445D3" w:rsidRDefault="00846541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14" w:type="pct"/>
          </w:tcPr>
          <w:p w14:paraId="6725AD7C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2B7D699B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054926F2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267B7E7" w14:textId="01059676" w:rsidR="00C95A91" w:rsidRPr="001445D3" w:rsidRDefault="00846541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62" w:type="pct"/>
          </w:tcPr>
          <w:p w14:paraId="4006F647" w14:textId="2B148B1D" w:rsidR="006A3425" w:rsidRPr="001445D3" w:rsidRDefault="006A3425" w:rsidP="006A3425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47" w:type="pct"/>
          </w:tcPr>
          <w:p w14:paraId="6622E811" w14:textId="600EFCC4" w:rsidR="00C95A91" w:rsidRPr="001445D3" w:rsidRDefault="009020D6" w:rsidP="009020D6">
            <w:pPr>
              <w:rPr>
                <w:sz w:val="20"/>
                <w:szCs w:val="20"/>
                <w:lang w:val="en-GB"/>
              </w:rPr>
            </w:pPr>
            <w:r w:rsidRPr="009020D6">
              <w:rPr>
                <w:sz w:val="20"/>
                <w:szCs w:val="20"/>
                <w:lang w:val="en-GB"/>
              </w:rPr>
              <w:t>Solving the "</w:t>
            </w:r>
            <w:r w:rsidRPr="00B7198E">
              <w:rPr>
                <w:sz w:val="20"/>
                <w:szCs w:val="20"/>
                <w:lang w:val="en-GB"/>
              </w:rPr>
              <w:t>The Balance of Payments</w:t>
            </w:r>
            <w:r w:rsidRPr="009020D6">
              <w:rPr>
                <w:sz w:val="20"/>
                <w:szCs w:val="20"/>
                <w:lang w:val="en-GB"/>
              </w:rPr>
              <w:t xml:space="preserve"> " tasks</w:t>
            </w:r>
          </w:p>
        </w:tc>
      </w:tr>
      <w:tr w:rsidR="00891385" w:rsidRPr="001445D3" w14:paraId="4B0E8E70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76AF4083" w14:textId="549AE033" w:rsidR="00891385" w:rsidRPr="001445D3" w:rsidRDefault="00195697" w:rsidP="00B7198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4. </w:t>
            </w:r>
            <w:r w:rsidRPr="00195697">
              <w:rPr>
                <w:sz w:val="20"/>
                <w:szCs w:val="20"/>
                <w:lang w:val="en-GB"/>
              </w:rPr>
              <w:t>The Foreign Exchange Market</w:t>
            </w:r>
          </w:p>
        </w:tc>
        <w:tc>
          <w:tcPr>
            <w:tcW w:w="215" w:type="pct"/>
          </w:tcPr>
          <w:p w14:paraId="3C4ADFD8" w14:textId="4A43B130" w:rsidR="00891385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15" w:type="pct"/>
          </w:tcPr>
          <w:p w14:paraId="1F7A3DDC" w14:textId="77777777" w:rsidR="00891385" w:rsidRPr="001445D3" w:rsidRDefault="00891385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2FA3D2FA" w14:textId="5418116F" w:rsidR="00891385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14" w:type="pct"/>
          </w:tcPr>
          <w:p w14:paraId="3AE1812F" w14:textId="77777777" w:rsidR="00891385" w:rsidRPr="001445D3" w:rsidRDefault="00891385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7825C309" w14:textId="77777777" w:rsidR="00891385" w:rsidRPr="001445D3" w:rsidRDefault="00891385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5BB81DBD" w14:textId="77777777" w:rsidR="00891385" w:rsidRPr="001445D3" w:rsidRDefault="00891385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159C409" w14:textId="51FC46E6" w:rsidR="00891385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62" w:type="pct"/>
          </w:tcPr>
          <w:p w14:paraId="2BC26816" w14:textId="10B979DA" w:rsidR="00891385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1F40AA">
              <w:rPr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47" w:type="pct"/>
          </w:tcPr>
          <w:p w14:paraId="5C1FCD29" w14:textId="6FAA8393" w:rsidR="00891385" w:rsidRPr="009020D6" w:rsidRDefault="00195697" w:rsidP="009020D6">
            <w:pPr>
              <w:rPr>
                <w:sz w:val="20"/>
                <w:szCs w:val="20"/>
                <w:lang w:val="en-GB"/>
              </w:rPr>
            </w:pPr>
            <w:r w:rsidRPr="00195697">
              <w:rPr>
                <w:sz w:val="20"/>
                <w:szCs w:val="20"/>
                <w:lang w:val="en-GB"/>
              </w:rPr>
              <w:t>Solving the " The Foreign Exchange Market " tasks</w:t>
            </w:r>
          </w:p>
        </w:tc>
      </w:tr>
      <w:tr w:rsidR="00C95A91" w:rsidRPr="001445D3" w14:paraId="240F2F2C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5274176C" w14:textId="5DA7C943" w:rsidR="00C95A91" w:rsidRPr="001445D3" w:rsidRDefault="00DC6265" w:rsidP="00B7198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="00C95A91" w:rsidRPr="001445D3">
              <w:rPr>
                <w:sz w:val="20"/>
                <w:szCs w:val="20"/>
                <w:lang w:val="en-GB"/>
              </w:rPr>
              <w:t xml:space="preserve">. </w:t>
            </w:r>
            <w:r w:rsidR="00B7198E" w:rsidRPr="00B7198E">
              <w:rPr>
                <w:sz w:val="20"/>
                <w:szCs w:val="20"/>
                <w:lang w:val="en-GB"/>
              </w:rPr>
              <w:t>International Parity Conditions</w:t>
            </w:r>
          </w:p>
        </w:tc>
        <w:tc>
          <w:tcPr>
            <w:tcW w:w="215" w:type="pct"/>
          </w:tcPr>
          <w:p w14:paraId="4AB37335" w14:textId="5DBA59B8" w:rsidR="00C95A91" w:rsidRPr="001445D3" w:rsidRDefault="00C70652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15" w:type="pct"/>
          </w:tcPr>
          <w:p w14:paraId="6157A473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7A4CB4B4" w14:textId="2D006E0A" w:rsidR="00C95A91" w:rsidRPr="001445D3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14" w:type="pct"/>
          </w:tcPr>
          <w:p w14:paraId="6BBD50ED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58D697E5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3B8E1983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557590F4" w14:textId="7B073E4C" w:rsidR="00C95A91" w:rsidRPr="001445D3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62" w:type="pct"/>
          </w:tcPr>
          <w:p w14:paraId="1A46BCBB" w14:textId="3F244EE6" w:rsidR="00C95A91" w:rsidRPr="001445D3" w:rsidRDefault="006A3425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1047" w:type="pct"/>
          </w:tcPr>
          <w:p w14:paraId="26C30E7A" w14:textId="56340437" w:rsidR="00C95A91" w:rsidRPr="001445D3" w:rsidRDefault="009020D6" w:rsidP="009020D6">
            <w:pPr>
              <w:rPr>
                <w:sz w:val="20"/>
                <w:szCs w:val="20"/>
                <w:lang w:val="en-GB"/>
              </w:rPr>
            </w:pPr>
            <w:r w:rsidRPr="009020D6">
              <w:rPr>
                <w:sz w:val="20"/>
                <w:szCs w:val="20"/>
                <w:lang w:val="en-GB"/>
              </w:rPr>
              <w:t xml:space="preserve">Analysis of the </w:t>
            </w:r>
            <w:proofErr w:type="gramStart"/>
            <w:r w:rsidRPr="009020D6">
              <w:rPr>
                <w:sz w:val="20"/>
                <w:szCs w:val="20"/>
                <w:lang w:val="en-GB"/>
              </w:rPr>
              <w:t>mini-case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. </w:t>
            </w:r>
            <w:r w:rsidRPr="009020D6">
              <w:rPr>
                <w:sz w:val="20"/>
                <w:szCs w:val="20"/>
                <w:lang w:val="en-GB"/>
              </w:rPr>
              <w:t>Solving the "</w:t>
            </w:r>
            <w:r w:rsidRPr="00B7198E">
              <w:rPr>
                <w:sz w:val="20"/>
                <w:szCs w:val="20"/>
                <w:lang w:val="en-GB"/>
              </w:rPr>
              <w:t>International Parity Conditions</w:t>
            </w:r>
            <w:r w:rsidRPr="009020D6">
              <w:rPr>
                <w:sz w:val="20"/>
                <w:szCs w:val="20"/>
                <w:lang w:val="en-GB"/>
              </w:rPr>
              <w:t>" tasks</w:t>
            </w:r>
          </w:p>
        </w:tc>
      </w:tr>
      <w:tr w:rsidR="00C95A91" w:rsidRPr="001445D3" w14:paraId="4E91F883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64D3472F" w14:textId="1B66DB5F" w:rsidR="00C95A91" w:rsidRPr="001445D3" w:rsidRDefault="0069132F" w:rsidP="00026101">
            <w:pPr>
              <w:jc w:val="both"/>
              <w:rPr>
                <w:sz w:val="20"/>
                <w:szCs w:val="20"/>
                <w:lang w:val="en-GB"/>
              </w:rPr>
            </w:pPr>
            <w:r w:rsidRPr="0069132F">
              <w:rPr>
                <w:sz w:val="20"/>
                <w:szCs w:val="20"/>
                <w:lang w:val="en-GB"/>
              </w:rPr>
              <w:t>6. Foreign Exchange Rate Determination and Intervention</w:t>
            </w:r>
          </w:p>
        </w:tc>
        <w:tc>
          <w:tcPr>
            <w:tcW w:w="215" w:type="pct"/>
          </w:tcPr>
          <w:p w14:paraId="185EC426" w14:textId="4A19A2A6" w:rsidR="00C95A91" w:rsidRPr="001445D3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15" w:type="pct"/>
          </w:tcPr>
          <w:p w14:paraId="069792C4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7FE61C13" w14:textId="5B114F76" w:rsidR="00C95A91" w:rsidRPr="001445D3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14" w:type="pct"/>
          </w:tcPr>
          <w:p w14:paraId="39D011EB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7E4C3883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4D20F91E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501D3BC" w14:textId="5D29D3CC" w:rsidR="00C95A91" w:rsidRPr="001445D3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262" w:type="pct"/>
          </w:tcPr>
          <w:p w14:paraId="322492FD" w14:textId="16B404FC" w:rsidR="00C95A91" w:rsidRPr="001445D3" w:rsidRDefault="006A3425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047" w:type="pct"/>
          </w:tcPr>
          <w:p w14:paraId="4027B686" w14:textId="58F7E7E8" w:rsidR="00C95A91" w:rsidRPr="001445D3" w:rsidRDefault="009020D6" w:rsidP="009020D6">
            <w:pPr>
              <w:rPr>
                <w:sz w:val="20"/>
                <w:szCs w:val="20"/>
                <w:lang w:val="en-GB"/>
              </w:rPr>
            </w:pPr>
            <w:r w:rsidRPr="009020D6">
              <w:rPr>
                <w:sz w:val="20"/>
                <w:szCs w:val="20"/>
                <w:lang w:val="en-GB"/>
              </w:rPr>
              <w:t xml:space="preserve">Analysis of the </w:t>
            </w:r>
            <w:proofErr w:type="gramStart"/>
            <w:r w:rsidRPr="009020D6">
              <w:rPr>
                <w:sz w:val="20"/>
                <w:szCs w:val="20"/>
                <w:lang w:val="en-GB"/>
              </w:rPr>
              <w:t>mini-case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. </w:t>
            </w:r>
            <w:r w:rsidRPr="009020D6">
              <w:rPr>
                <w:sz w:val="20"/>
                <w:szCs w:val="20"/>
                <w:lang w:val="en-GB"/>
              </w:rPr>
              <w:t>Solving the "</w:t>
            </w:r>
            <w:r w:rsidRPr="00B7198E">
              <w:rPr>
                <w:sz w:val="20"/>
                <w:szCs w:val="20"/>
                <w:lang w:val="en-GB"/>
              </w:rPr>
              <w:t>Foreign Exchange Rate Forecasting</w:t>
            </w:r>
            <w:r w:rsidRPr="009020D6">
              <w:rPr>
                <w:sz w:val="20"/>
                <w:szCs w:val="20"/>
                <w:lang w:val="en-GB"/>
              </w:rPr>
              <w:t xml:space="preserve"> " tasks</w:t>
            </w:r>
          </w:p>
        </w:tc>
      </w:tr>
      <w:tr w:rsidR="00B7198E" w:rsidRPr="001445D3" w14:paraId="71302BB8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625A05E6" w14:textId="2365BA55" w:rsidR="00B7198E" w:rsidRPr="001445D3" w:rsidRDefault="00DC6265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  <w:r w:rsidR="00B7198E">
              <w:rPr>
                <w:sz w:val="20"/>
                <w:szCs w:val="20"/>
                <w:lang w:val="en-GB"/>
              </w:rPr>
              <w:t xml:space="preserve">. </w:t>
            </w:r>
            <w:r w:rsidR="00B7198E" w:rsidRPr="00B7198E">
              <w:rPr>
                <w:sz w:val="20"/>
                <w:szCs w:val="20"/>
                <w:lang w:val="en-GB"/>
              </w:rPr>
              <w:t>Foreign Currency Derivatives</w:t>
            </w:r>
          </w:p>
        </w:tc>
        <w:tc>
          <w:tcPr>
            <w:tcW w:w="215" w:type="pct"/>
          </w:tcPr>
          <w:p w14:paraId="32A126BE" w14:textId="71133555" w:rsidR="00B7198E" w:rsidRPr="001445D3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15" w:type="pct"/>
          </w:tcPr>
          <w:p w14:paraId="6B5806DC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2B0C1CD6" w14:textId="7A9F4527" w:rsidR="00B7198E" w:rsidRPr="001445D3" w:rsidRDefault="00846541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14" w:type="pct"/>
          </w:tcPr>
          <w:p w14:paraId="0ABAFB69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424BB16D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6CE28AF8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9FA4D45" w14:textId="0D61184D" w:rsidR="00B7198E" w:rsidRPr="001445D3" w:rsidRDefault="00846541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262" w:type="pct"/>
          </w:tcPr>
          <w:p w14:paraId="22732F9A" w14:textId="30CB11AE" w:rsidR="00B7198E" w:rsidRPr="001445D3" w:rsidRDefault="006A3425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047" w:type="pct"/>
          </w:tcPr>
          <w:p w14:paraId="37F5F120" w14:textId="561495C5" w:rsidR="00B7198E" w:rsidRPr="001445D3" w:rsidRDefault="009020D6" w:rsidP="009020D6">
            <w:pPr>
              <w:rPr>
                <w:sz w:val="20"/>
                <w:szCs w:val="20"/>
                <w:lang w:val="en-GB"/>
              </w:rPr>
            </w:pPr>
            <w:r w:rsidRPr="009020D6">
              <w:rPr>
                <w:sz w:val="20"/>
                <w:szCs w:val="20"/>
                <w:lang w:val="en-GB"/>
              </w:rPr>
              <w:t xml:space="preserve">Analysis of the </w:t>
            </w:r>
            <w:proofErr w:type="gramStart"/>
            <w:r w:rsidRPr="009020D6">
              <w:rPr>
                <w:sz w:val="20"/>
                <w:szCs w:val="20"/>
                <w:lang w:val="en-GB"/>
              </w:rPr>
              <w:t>mini-case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. </w:t>
            </w:r>
            <w:r w:rsidRPr="009020D6">
              <w:rPr>
                <w:sz w:val="20"/>
                <w:szCs w:val="20"/>
                <w:lang w:val="en-GB"/>
              </w:rPr>
              <w:t>Solving the "</w:t>
            </w:r>
            <w:r w:rsidRPr="00B7198E">
              <w:rPr>
                <w:sz w:val="20"/>
                <w:szCs w:val="20"/>
                <w:lang w:val="en-GB"/>
              </w:rPr>
              <w:t>Foreign Currency Derivatives</w:t>
            </w:r>
            <w:r w:rsidRPr="009020D6">
              <w:rPr>
                <w:sz w:val="20"/>
                <w:szCs w:val="20"/>
                <w:lang w:val="en-GB"/>
              </w:rPr>
              <w:t xml:space="preserve"> " tasks</w:t>
            </w:r>
          </w:p>
        </w:tc>
      </w:tr>
      <w:tr w:rsidR="00B7198E" w:rsidRPr="001445D3" w14:paraId="006249F3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4B4830BB" w14:textId="65402DB2" w:rsidR="00B7198E" w:rsidRPr="001445D3" w:rsidRDefault="00DC6265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="00B7198E">
              <w:rPr>
                <w:sz w:val="20"/>
                <w:szCs w:val="20"/>
                <w:lang w:val="en-GB"/>
              </w:rPr>
              <w:t xml:space="preserve">. </w:t>
            </w:r>
            <w:r w:rsidR="00B7198E" w:rsidRPr="00B7198E">
              <w:rPr>
                <w:sz w:val="20"/>
                <w:szCs w:val="20"/>
                <w:lang w:val="en-GB"/>
              </w:rPr>
              <w:t>Transaction Exposure</w:t>
            </w:r>
          </w:p>
        </w:tc>
        <w:tc>
          <w:tcPr>
            <w:tcW w:w="215" w:type="pct"/>
          </w:tcPr>
          <w:p w14:paraId="2B8264D4" w14:textId="0A8A0C42" w:rsidR="00B7198E" w:rsidRPr="001445D3" w:rsidRDefault="00C70652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15" w:type="pct"/>
          </w:tcPr>
          <w:p w14:paraId="4462EC43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220E989D" w14:textId="39309FB5" w:rsidR="00B7198E" w:rsidRPr="001445D3" w:rsidRDefault="009A33A3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14" w:type="pct"/>
          </w:tcPr>
          <w:p w14:paraId="25018372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461C8009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4E68A805" w14:textId="77777777" w:rsidR="00B7198E" w:rsidRPr="001445D3" w:rsidRDefault="00B7198E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20029DFC" w14:textId="62090855" w:rsidR="00B7198E" w:rsidRPr="001445D3" w:rsidRDefault="009A33A3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262" w:type="pct"/>
          </w:tcPr>
          <w:p w14:paraId="1F73A20B" w14:textId="27980AD4" w:rsidR="00B7198E" w:rsidRPr="001445D3" w:rsidRDefault="006A3425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047" w:type="pct"/>
          </w:tcPr>
          <w:p w14:paraId="321C3D24" w14:textId="148C5333" w:rsidR="00B7198E" w:rsidRPr="001445D3" w:rsidRDefault="009020D6" w:rsidP="009020D6">
            <w:pPr>
              <w:rPr>
                <w:sz w:val="20"/>
                <w:szCs w:val="20"/>
                <w:lang w:val="en-GB"/>
              </w:rPr>
            </w:pPr>
            <w:r w:rsidRPr="009020D6">
              <w:rPr>
                <w:sz w:val="20"/>
                <w:szCs w:val="20"/>
                <w:lang w:val="en-GB"/>
              </w:rPr>
              <w:t xml:space="preserve">Analysis of the </w:t>
            </w:r>
            <w:proofErr w:type="gramStart"/>
            <w:r w:rsidRPr="009020D6">
              <w:rPr>
                <w:sz w:val="20"/>
                <w:szCs w:val="20"/>
                <w:lang w:val="en-GB"/>
              </w:rPr>
              <w:t>mini-case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. </w:t>
            </w:r>
            <w:r w:rsidRPr="009020D6">
              <w:rPr>
                <w:sz w:val="20"/>
                <w:szCs w:val="20"/>
                <w:lang w:val="en-GB"/>
              </w:rPr>
              <w:t>Solving the "</w:t>
            </w:r>
            <w:r w:rsidRPr="00B7198E">
              <w:rPr>
                <w:sz w:val="20"/>
                <w:szCs w:val="20"/>
                <w:lang w:val="en-GB"/>
              </w:rPr>
              <w:t>Transaction Exposure</w:t>
            </w:r>
            <w:r w:rsidRPr="009020D6">
              <w:rPr>
                <w:sz w:val="20"/>
                <w:szCs w:val="20"/>
                <w:lang w:val="en-GB"/>
              </w:rPr>
              <w:t>" tasks</w:t>
            </w:r>
          </w:p>
        </w:tc>
      </w:tr>
      <w:tr w:rsidR="00C95A91" w:rsidRPr="001445D3" w14:paraId="681FA1DC" w14:textId="77777777" w:rsidTr="006A3425">
        <w:trPr>
          <w:gridAfter w:val="1"/>
          <w:wAfter w:w="3" w:type="pct"/>
        </w:trPr>
        <w:tc>
          <w:tcPr>
            <w:tcW w:w="2185" w:type="pct"/>
          </w:tcPr>
          <w:p w14:paraId="50F79E84" w14:textId="77777777" w:rsidR="00C95A91" w:rsidRPr="001445D3" w:rsidRDefault="006864EE" w:rsidP="00843576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15" w:type="pct"/>
          </w:tcPr>
          <w:p w14:paraId="4689217E" w14:textId="77777777" w:rsidR="00C95A91" w:rsidRPr="001445D3" w:rsidRDefault="00F71048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15" w:type="pct"/>
          </w:tcPr>
          <w:p w14:paraId="15D6BC10" w14:textId="77777777" w:rsidR="00C95A91" w:rsidRPr="001445D3" w:rsidRDefault="00C95A91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69F96AC1" w14:textId="77777777" w:rsidR="00C95A91" w:rsidRPr="001445D3" w:rsidRDefault="00F71048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14" w:type="pct"/>
          </w:tcPr>
          <w:p w14:paraId="2081701E" w14:textId="77777777" w:rsidR="00C95A91" w:rsidRPr="001445D3" w:rsidRDefault="00C95A91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20B6E7FF" w14:textId="77777777" w:rsidR="00C95A91" w:rsidRPr="001445D3" w:rsidRDefault="00C95A91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" w:type="pct"/>
          </w:tcPr>
          <w:p w14:paraId="23EEE4D9" w14:textId="77777777" w:rsidR="00C95A91" w:rsidRPr="001445D3" w:rsidRDefault="00C95A91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1ECE300D" w14:textId="77777777" w:rsidR="00C95A91" w:rsidRPr="001445D3" w:rsidRDefault="00F71048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</w:t>
            </w:r>
            <w:r w:rsidR="001531EF">
              <w:rPr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62" w:type="pct"/>
          </w:tcPr>
          <w:p w14:paraId="671626AE" w14:textId="77777777" w:rsidR="00C95A91" w:rsidRPr="001445D3" w:rsidRDefault="00F71048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</w:t>
            </w:r>
            <w:r w:rsidR="001531EF">
              <w:rPr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47" w:type="pct"/>
          </w:tcPr>
          <w:p w14:paraId="57D6D7BF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20916F35" w14:textId="77777777" w:rsidR="00C95A91" w:rsidRPr="001445D3" w:rsidRDefault="00C95A91" w:rsidP="00C95A91">
      <w:pPr>
        <w:rPr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777"/>
        <w:gridCol w:w="1419"/>
        <w:gridCol w:w="5210"/>
      </w:tblGrid>
      <w:tr w:rsidR="00C95A91" w:rsidRPr="001445D3" w14:paraId="3A3A3E06" w14:textId="77777777" w:rsidTr="00177B80">
        <w:tc>
          <w:tcPr>
            <w:tcW w:w="1283" w:type="pct"/>
            <w:shd w:val="clear" w:color="auto" w:fill="E6E6E6"/>
          </w:tcPr>
          <w:p w14:paraId="06640884" w14:textId="77777777" w:rsidR="00C95A91" w:rsidRPr="001445D3" w:rsidRDefault="006864EE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Assessment strategy</w:t>
            </w:r>
          </w:p>
        </w:tc>
        <w:tc>
          <w:tcPr>
            <w:tcW w:w="390" w:type="pct"/>
            <w:shd w:val="clear" w:color="auto" w:fill="E6E6E6"/>
          </w:tcPr>
          <w:p w14:paraId="46A775A3" w14:textId="77777777" w:rsidR="00C95A91" w:rsidRPr="001445D3" w:rsidRDefault="006864EE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445D3">
              <w:rPr>
                <w:b/>
                <w:bCs/>
                <w:sz w:val="20"/>
                <w:szCs w:val="20"/>
                <w:lang w:val="en-GB"/>
              </w:rPr>
              <w:t>Weight</w:t>
            </w:r>
            <w:r w:rsidR="00A96B17" w:rsidRPr="001445D3">
              <w:rPr>
                <w:b/>
                <w:bCs/>
                <w:sz w:val="20"/>
                <w:szCs w:val="20"/>
                <w:lang w:val="en-GB"/>
              </w:rPr>
              <w:t>,</w:t>
            </w:r>
            <w:r w:rsidRPr="001445D3">
              <w:rPr>
                <w:b/>
                <w:bCs/>
                <w:sz w:val="20"/>
                <w:szCs w:val="20"/>
                <w:lang w:val="en-GB"/>
              </w:rPr>
              <w:t>%</w:t>
            </w:r>
            <w:proofErr w:type="gramEnd"/>
          </w:p>
        </w:tc>
        <w:tc>
          <w:tcPr>
            <w:tcW w:w="712" w:type="pct"/>
            <w:shd w:val="clear" w:color="auto" w:fill="E6E6E6"/>
          </w:tcPr>
          <w:p w14:paraId="2158C535" w14:textId="77777777" w:rsidR="00C95A91" w:rsidRPr="001445D3" w:rsidRDefault="006864EE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Deadline</w:t>
            </w:r>
          </w:p>
        </w:tc>
        <w:tc>
          <w:tcPr>
            <w:tcW w:w="2615" w:type="pct"/>
            <w:shd w:val="clear" w:color="auto" w:fill="E6E6E6"/>
          </w:tcPr>
          <w:p w14:paraId="659257AC" w14:textId="77777777" w:rsidR="00C95A91" w:rsidRPr="001445D3" w:rsidRDefault="006864EE" w:rsidP="00C95A91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sz w:val="20"/>
                <w:szCs w:val="20"/>
                <w:lang w:val="en-GB"/>
              </w:rPr>
              <w:t>Assessment criteria</w:t>
            </w:r>
          </w:p>
        </w:tc>
      </w:tr>
      <w:tr w:rsidR="00C95A91" w:rsidRPr="001445D3" w14:paraId="70C048E9" w14:textId="77777777" w:rsidTr="00177B80">
        <w:tc>
          <w:tcPr>
            <w:tcW w:w="1283" w:type="pct"/>
          </w:tcPr>
          <w:p w14:paraId="676A2C2B" w14:textId="3F114682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 w:rsidRPr="00765F8B">
              <w:rPr>
                <w:sz w:val="20"/>
                <w:szCs w:val="20"/>
                <w:lang w:val="en-GB"/>
              </w:rPr>
              <w:t>Homework assignments</w:t>
            </w:r>
          </w:p>
          <w:p w14:paraId="6F2D4C1A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37CD8386" w14:textId="7A4E7CCC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20%</w:t>
            </w:r>
          </w:p>
        </w:tc>
        <w:tc>
          <w:tcPr>
            <w:tcW w:w="712" w:type="pct"/>
          </w:tcPr>
          <w:p w14:paraId="623B6BBE" w14:textId="3D2A3DEE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 w:rsidRPr="00500354">
              <w:rPr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615" w:type="pct"/>
          </w:tcPr>
          <w:p w14:paraId="56849F35" w14:textId="7F6932B2" w:rsidR="00F55F0D" w:rsidRPr="00765F8B" w:rsidRDefault="00545BE6" w:rsidP="00F55F0D">
            <w:pPr>
              <w:jc w:val="both"/>
              <w:rPr>
                <w:sz w:val="20"/>
                <w:szCs w:val="20"/>
                <w:lang w:val="en-GB"/>
              </w:rPr>
            </w:pPr>
            <w:bookmarkStart w:id="8" w:name="_Hlk125020767"/>
            <w:r>
              <w:rPr>
                <w:sz w:val="20"/>
                <w:szCs w:val="20"/>
                <w:lang w:val="en-GB"/>
              </w:rPr>
              <w:t>2</w:t>
            </w:r>
            <w:r w:rsidRPr="0066251D">
              <w:rPr>
                <w:sz w:val="20"/>
                <w:szCs w:val="20"/>
                <w:lang w:val="en-GB"/>
              </w:rPr>
              <w:t xml:space="preserve"> point</w:t>
            </w:r>
            <w:r w:rsidRPr="00765F8B">
              <w:rPr>
                <w:sz w:val="20"/>
                <w:szCs w:val="20"/>
                <w:lang w:val="en-GB"/>
              </w:rPr>
              <w:t xml:space="preserve"> </w:t>
            </w:r>
            <w:r w:rsidR="00F55F0D" w:rsidRPr="00765F8B">
              <w:rPr>
                <w:sz w:val="20"/>
                <w:szCs w:val="20"/>
                <w:lang w:val="en-GB"/>
              </w:rPr>
              <w:t xml:space="preserve">doing homework assignments. Assignments in Word format must be submitted to the teacher </w:t>
            </w:r>
            <w:r w:rsidRPr="00545BE6">
              <w:rPr>
                <w:sz w:val="20"/>
                <w:szCs w:val="20"/>
                <w:lang w:val="en-GB"/>
              </w:rPr>
              <w:t xml:space="preserve">before the beginning of the </w:t>
            </w:r>
            <w:r w:rsidR="00891385" w:rsidRPr="00891385">
              <w:rPr>
                <w:sz w:val="20"/>
                <w:szCs w:val="20"/>
                <w:lang w:val="en-GB"/>
              </w:rPr>
              <w:t>Examination</w:t>
            </w:r>
            <w:r w:rsidR="00F55F0D" w:rsidRPr="00765F8B">
              <w:rPr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F55F0D" w:rsidRPr="002C6F74">
                <w:rPr>
                  <w:rStyle w:val="Hipersaitas"/>
                  <w:sz w:val="20"/>
                  <w:szCs w:val="20"/>
                  <w:lang w:val="en-GB"/>
                </w:rPr>
                <w:t>arvydas@paskevicius.com</w:t>
              </w:r>
            </w:hyperlink>
            <w:r w:rsidR="00F55F0D">
              <w:rPr>
                <w:sz w:val="20"/>
                <w:szCs w:val="20"/>
                <w:lang w:val="en-GB"/>
              </w:rPr>
              <w:t xml:space="preserve"> </w:t>
            </w:r>
            <w:r w:rsidR="00F55F0D" w:rsidRPr="00765F8B">
              <w:rPr>
                <w:sz w:val="20"/>
                <w:szCs w:val="20"/>
                <w:lang w:val="en-GB"/>
              </w:rPr>
              <w:t>The assessment of the completed assignment is multiplied by 0.</w:t>
            </w:r>
            <w:r w:rsidR="00F55F0D">
              <w:rPr>
                <w:sz w:val="20"/>
                <w:szCs w:val="20"/>
                <w:lang w:val="en-GB"/>
              </w:rPr>
              <w:t>2</w:t>
            </w:r>
            <w:r w:rsidR="00F55F0D" w:rsidRPr="00765F8B">
              <w:rPr>
                <w:sz w:val="20"/>
                <w:szCs w:val="20"/>
                <w:lang w:val="en-GB"/>
              </w:rPr>
              <w:t xml:space="preserve"> and added to the final assessment.</w:t>
            </w:r>
          </w:p>
          <w:p w14:paraId="1CA13D7B" w14:textId="38DC8F38" w:rsidR="00C95A91" w:rsidRPr="001445D3" w:rsidRDefault="00F55F0D" w:rsidP="00F55F0D">
            <w:pPr>
              <w:tabs>
                <w:tab w:val="left" w:pos="407"/>
              </w:tabs>
              <w:jc w:val="both"/>
              <w:rPr>
                <w:sz w:val="20"/>
                <w:szCs w:val="20"/>
                <w:lang w:val="en-GB"/>
              </w:rPr>
            </w:pPr>
            <w:r w:rsidRPr="00765F8B">
              <w:rPr>
                <w:sz w:val="20"/>
                <w:szCs w:val="20"/>
                <w:lang w:val="en-GB"/>
              </w:rPr>
              <w:t>The assessment of late tasks is reduced by 50%</w:t>
            </w:r>
            <w:bookmarkEnd w:id="8"/>
          </w:p>
        </w:tc>
      </w:tr>
      <w:tr w:rsidR="00C95A91" w:rsidRPr="001445D3" w14:paraId="378A2A9E" w14:textId="77777777" w:rsidTr="00177B80">
        <w:tc>
          <w:tcPr>
            <w:tcW w:w="1283" w:type="pct"/>
          </w:tcPr>
          <w:p w14:paraId="76A31A33" w14:textId="77777777" w:rsidR="00F55F0D" w:rsidRPr="00310B07" w:rsidRDefault="00F55F0D" w:rsidP="00F55F0D">
            <w:pPr>
              <w:jc w:val="both"/>
              <w:rPr>
                <w:sz w:val="20"/>
                <w:szCs w:val="20"/>
                <w:lang w:val="en-GB"/>
              </w:rPr>
            </w:pPr>
            <w:r w:rsidRPr="00310B07">
              <w:rPr>
                <w:sz w:val="20"/>
                <w:szCs w:val="20"/>
                <w:lang w:val="en-GB"/>
              </w:rPr>
              <w:t>Work in auditorium (seminars and lectures)</w:t>
            </w:r>
          </w:p>
          <w:p w14:paraId="48A36C58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40805551" w14:textId="54642F73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30%</w:t>
            </w:r>
          </w:p>
        </w:tc>
        <w:tc>
          <w:tcPr>
            <w:tcW w:w="712" w:type="pct"/>
          </w:tcPr>
          <w:p w14:paraId="1655ED1A" w14:textId="683DF531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 w:rsidRPr="00500354">
              <w:rPr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615" w:type="pct"/>
          </w:tcPr>
          <w:p w14:paraId="46FA320A" w14:textId="45C6EEB8" w:rsidR="0066251D" w:rsidRPr="0066251D" w:rsidRDefault="0066251D" w:rsidP="0066251D">
            <w:pPr>
              <w:jc w:val="both"/>
              <w:rPr>
                <w:sz w:val="20"/>
                <w:szCs w:val="20"/>
                <w:lang w:val="en-GB"/>
              </w:rPr>
            </w:pPr>
            <w:bookmarkStart w:id="9" w:name="_Hlk125020877"/>
            <w:bookmarkStart w:id="10" w:name="_Hlk125020913"/>
            <w:r>
              <w:rPr>
                <w:sz w:val="20"/>
                <w:szCs w:val="20"/>
                <w:lang w:val="en-GB"/>
              </w:rPr>
              <w:t>3</w:t>
            </w:r>
            <w:r w:rsidRPr="0066251D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6251D">
              <w:rPr>
                <w:sz w:val="20"/>
                <w:szCs w:val="20"/>
                <w:lang w:val="en-GB"/>
              </w:rPr>
              <w:t>point</w:t>
            </w:r>
            <w:bookmarkEnd w:id="9"/>
            <w:proofErr w:type="gramEnd"/>
            <w:r w:rsidRPr="0066251D">
              <w:rPr>
                <w:sz w:val="20"/>
                <w:szCs w:val="20"/>
                <w:lang w:val="en-GB"/>
              </w:rPr>
              <w:t xml:space="preserve">: a student was actively involved in solving the tasks </w:t>
            </w:r>
            <w:r w:rsidR="00891385" w:rsidRPr="00891385">
              <w:rPr>
                <w:sz w:val="20"/>
                <w:szCs w:val="20"/>
                <w:lang w:val="en-GB"/>
              </w:rPr>
              <w:t xml:space="preserve">and case studies </w:t>
            </w:r>
            <w:r w:rsidRPr="0066251D">
              <w:rPr>
                <w:sz w:val="20"/>
                <w:szCs w:val="20"/>
                <w:lang w:val="en-GB"/>
              </w:rPr>
              <w:t>during seminars and average grade is 10.</w:t>
            </w:r>
          </w:p>
          <w:p w14:paraId="075E820D" w14:textId="24792C15" w:rsidR="0066251D" w:rsidRPr="0066251D" w:rsidRDefault="0066251D" w:rsidP="0066251D">
            <w:pPr>
              <w:jc w:val="both"/>
              <w:rPr>
                <w:sz w:val="20"/>
                <w:szCs w:val="20"/>
                <w:lang w:val="en-GB"/>
              </w:rPr>
            </w:pPr>
            <w:r w:rsidRPr="0066251D">
              <w:rPr>
                <w:sz w:val="20"/>
                <w:szCs w:val="20"/>
                <w:lang w:val="en-GB"/>
              </w:rPr>
              <w:t xml:space="preserve">Less than </w:t>
            </w:r>
            <w:r>
              <w:rPr>
                <w:sz w:val="20"/>
                <w:szCs w:val="20"/>
                <w:lang w:val="en-GB"/>
              </w:rPr>
              <w:t>3</w:t>
            </w:r>
            <w:r w:rsidRPr="0066251D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6251D">
              <w:rPr>
                <w:sz w:val="20"/>
                <w:szCs w:val="20"/>
                <w:lang w:val="en-GB"/>
              </w:rPr>
              <w:t>point</w:t>
            </w:r>
            <w:proofErr w:type="gramEnd"/>
            <w:r w:rsidRPr="0066251D">
              <w:rPr>
                <w:sz w:val="20"/>
                <w:szCs w:val="20"/>
                <w:lang w:val="en-GB"/>
              </w:rPr>
              <w:t xml:space="preserve">: a student was involved in solving the tasks </w:t>
            </w:r>
            <w:r w:rsidR="00891385" w:rsidRPr="00891385">
              <w:rPr>
                <w:sz w:val="20"/>
                <w:szCs w:val="20"/>
                <w:lang w:val="en-GB"/>
              </w:rPr>
              <w:t xml:space="preserve">and case studies </w:t>
            </w:r>
            <w:r w:rsidRPr="0066251D">
              <w:rPr>
                <w:sz w:val="20"/>
                <w:szCs w:val="20"/>
                <w:lang w:val="en-GB"/>
              </w:rPr>
              <w:t>during seminars and average grade is less than 10.</w:t>
            </w:r>
          </w:p>
          <w:p w14:paraId="7975CEC4" w14:textId="59082207" w:rsidR="00C95A91" w:rsidRPr="001445D3" w:rsidRDefault="0066251D" w:rsidP="0066251D">
            <w:pPr>
              <w:jc w:val="both"/>
              <w:rPr>
                <w:sz w:val="20"/>
                <w:szCs w:val="20"/>
                <w:lang w:val="en-GB"/>
              </w:rPr>
            </w:pPr>
            <w:bookmarkStart w:id="11" w:name="_Hlk125020949"/>
            <w:bookmarkEnd w:id="10"/>
            <w:r w:rsidRPr="0066251D">
              <w:rPr>
                <w:sz w:val="20"/>
                <w:szCs w:val="20"/>
                <w:lang w:val="en-GB"/>
              </w:rPr>
              <w:lastRenderedPageBreak/>
              <w:t xml:space="preserve">0 points: a student din </w:t>
            </w:r>
            <w:proofErr w:type="gramStart"/>
            <w:r w:rsidRPr="0066251D">
              <w:rPr>
                <w:sz w:val="20"/>
                <w:szCs w:val="20"/>
                <w:lang w:val="en-GB"/>
              </w:rPr>
              <w:t>not solve</w:t>
            </w:r>
            <w:proofErr w:type="gramEnd"/>
            <w:r w:rsidRPr="0066251D">
              <w:rPr>
                <w:sz w:val="20"/>
                <w:szCs w:val="20"/>
                <w:lang w:val="en-GB"/>
              </w:rPr>
              <w:t xml:space="preserve"> the tasks</w:t>
            </w:r>
            <w:r w:rsidR="00891385">
              <w:rPr>
                <w:sz w:val="20"/>
                <w:szCs w:val="20"/>
                <w:lang w:val="en-GB"/>
              </w:rPr>
              <w:t xml:space="preserve"> </w:t>
            </w:r>
            <w:r w:rsidR="00891385" w:rsidRPr="00891385">
              <w:rPr>
                <w:sz w:val="20"/>
                <w:szCs w:val="20"/>
                <w:lang w:val="en-GB"/>
              </w:rPr>
              <w:t>and case studies</w:t>
            </w:r>
            <w:r w:rsidRPr="0066251D">
              <w:rPr>
                <w:sz w:val="20"/>
                <w:szCs w:val="20"/>
                <w:lang w:val="en-GB"/>
              </w:rPr>
              <w:t xml:space="preserve"> during seminars</w:t>
            </w:r>
            <w:bookmarkEnd w:id="11"/>
          </w:p>
        </w:tc>
      </w:tr>
      <w:tr w:rsidR="00C95A91" w:rsidRPr="001445D3" w14:paraId="0F78EC25" w14:textId="77777777" w:rsidTr="00177B80">
        <w:tc>
          <w:tcPr>
            <w:tcW w:w="1283" w:type="pct"/>
          </w:tcPr>
          <w:p w14:paraId="4A91BB27" w14:textId="54CDA829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 w:rsidRPr="00500354">
              <w:rPr>
                <w:sz w:val="20"/>
                <w:szCs w:val="20"/>
                <w:lang w:val="en-GB"/>
              </w:rPr>
              <w:lastRenderedPageBreak/>
              <w:t>Examination</w:t>
            </w:r>
          </w:p>
          <w:p w14:paraId="53C59325" w14:textId="77777777" w:rsidR="00C95A91" w:rsidRPr="001445D3" w:rsidRDefault="00C95A91" w:rsidP="00C95A9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5DAAD352" w14:textId="7B59EC5D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50%</w:t>
            </w:r>
          </w:p>
        </w:tc>
        <w:tc>
          <w:tcPr>
            <w:tcW w:w="712" w:type="pct"/>
          </w:tcPr>
          <w:p w14:paraId="7D79EBAB" w14:textId="4A0DA4F3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At the end of the course</w:t>
            </w:r>
          </w:p>
        </w:tc>
        <w:tc>
          <w:tcPr>
            <w:tcW w:w="2615" w:type="pct"/>
          </w:tcPr>
          <w:p w14:paraId="4952FB21" w14:textId="1FF7A5A7" w:rsidR="00C95A91" w:rsidRPr="001445D3" w:rsidRDefault="00F55F0D" w:rsidP="00C95A91">
            <w:pPr>
              <w:jc w:val="both"/>
              <w:rPr>
                <w:sz w:val="20"/>
                <w:szCs w:val="20"/>
                <w:lang w:val="en-GB"/>
              </w:rPr>
            </w:pPr>
            <w:bookmarkStart w:id="12" w:name="_Hlk125021014"/>
            <w:r w:rsidRPr="00500354">
              <w:rPr>
                <w:sz w:val="20"/>
                <w:szCs w:val="20"/>
                <w:lang w:val="en-GB"/>
              </w:rPr>
              <w:t xml:space="preserve">Examination </w:t>
            </w:r>
            <w:r w:rsidRPr="00920F49">
              <w:rPr>
                <w:sz w:val="20"/>
                <w:szCs w:val="20"/>
                <w:lang w:val="en-GB"/>
              </w:rPr>
              <w:t>(closed and open questions), problem solving. Students must complete at least 50% of the assignments. If the grade is 5 or higher, it is multiplied by 0.</w:t>
            </w:r>
            <w:r>
              <w:rPr>
                <w:sz w:val="20"/>
                <w:szCs w:val="20"/>
                <w:lang w:val="en-GB"/>
              </w:rPr>
              <w:t>5</w:t>
            </w:r>
            <w:r w:rsidRPr="00920F49">
              <w:rPr>
                <w:sz w:val="20"/>
                <w:szCs w:val="20"/>
                <w:lang w:val="en-GB"/>
              </w:rPr>
              <w:t xml:space="preserve"> and added to the overall final grade. </w:t>
            </w:r>
            <w:r w:rsidRPr="00D36FA2">
              <w:rPr>
                <w:b/>
                <w:bCs/>
                <w:sz w:val="20"/>
                <w:szCs w:val="20"/>
                <w:lang w:val="en-GB"/>
              </w:rPr>
              <w:t xml:space="preserve">Failure to pass the examination will result in a negative final </w:t>
            </w:r>
            <w:proofErr w:type="gramStart"/>
            <w:r w:rsidRPr="00D36FA2">
              <w:rPr>
                <w:b/>
                <w:bCs/>
                <w:sz w:val="20"/>
                <w:szCs w:val="20"/>
                <w:lang w:val="en-GB"/>
              </w:rPr>
              <w:t>evaluation</w:t>
            </w:r>
            <w:bookmarkEnd w:id="12"/>
            <w:r>
              <w:rPr>
                <w:sz w:val="20"/>
                <w:szCs w:val="20"/>
                <w:lang w:val="en-GB"/>
              </w:rPr>
              <w:t>..</w:t>
            </w:r>
            <w:proofErr w:type="gramEnd"/>
          </w:p>
        </w:tc>
      </w:tr>
    </w:tbl>
    <w:p w14:paraId="2D080209" w14:textId="77777777" w:rsidR="00C95A91" w:rsidRPr="001445D3" w:rsidRDefault="00C95A91" w:rsidP="00C95A91">
      <w:pPr>
        <w:rPr>
          <w:sz w:val="20"/>
          <w:szCs w:val="20"/>
          <w:lang w:val="en-GB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762"/>
        <w:gridCol w:w="2677"/>
        <w:gridCol w:w="1432"/>
        <w:gridCol w:w="2665"/>
      </w:tblGrid>
      <w:tr w:rsidR="00C95A91" w:rsidRPr="001445D3" w14:paraId="6BC18C04" w14:textId="77777777" w:rsidTr="001934AB">
        <w:tc>
          <w:tcPr>
            <w:tcW w:w="1231" w:type="pct"/>
            <w:shd w:val="clear" w:color="auto" w:fill="E6E6E6"/>
          </w:tcPr>
          <w:p w14:paraId="2742EEC2" w14:textId="77777777" w:rsidR="00C95A91" w:rsidRPr="001445D3" w:rsidRDefault="006864EE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381" w:type="pct"/>
            <w:shd w:val="clear" w:color="auto" w:fill="E6E6E6"/>
          </w:tcPr>
          <w:p w14:paraId="4DCE59FF" w14:textId="77777777" w:rsidR="00C95A91" w:rsidRPr="001445D3" w:rsidRDefault="00EC72BB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445D3">
              <w:rPr>
                <w:b/>
                <w:sz w:val="20"/>
                <w:szCs w:val="20"/>
                <w:lang w:val="en-GB"/>
              </w:rPr>
              <w:t>Year of publication</w:t>
            </w:r>
          </w:p>
        </w:tc>
        <w:tc>
          <w:tcPr>
            <w:tcW w:w="1339" w:type="pct"/>
            <w:shd w:val="clear" w:color="auto" w:fill="E6E6E6"/>
          </w:tcPr>
          <w:p w14:paraId="005F7D75" w14:textId="77777777" w:rsidR="00C95A91" w:rsidRPr="001445D3" w:rsidRDefault="006864EE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716" w:type="pct"/>
            <w:shd w:val="clear" w:color="auto" w:fill="E6E6E6"/>
          </w:tcPr>
          <w:p w14:paraId="6A5CA19B" w14:textId="77777777" w:rsidR="00EC72BB" w:rsidRPr="001445D3" w:rsidRDefault="00EC72BB" w:rsidP="00EC72BB">
            <w:pPr>
              <w:jc w:val="both"/>
              <w:outlineLvl w:val="3"/>
              <w:rPr>
                <w:b/>
                <w:sz w:val="20"/>
                <w:lang w:val="en-GB"/>
              </w:rPr>
            </w:pPr>
            <w:r w:rsidRPr="001445D3">
              <w:rPr>
                <w:b/>
                <w:sz w:val="20"/>
                <w:lang w:val="en-GB"/>
              </w:rPr>
              <w:t>Issue of a periodical</w:t>
            </w:r>
          </w:p>
          <w:p w14:paraId="7EB0A8AC" w14:textId="77777777" w:rsidR="00C95A91" w:rsidRPr="001445D3" w:rsidRDefault="00EC72BB" w:rsidP="00EC72BB">
            <w:pPr>
              <w:pStyle w:val="Komentarotekstas"/>
              <w:rPr>
                <w:lang w:val="en-GB"/>
              </w:rPr>
            </w:pPr>
            <w:r w:rsidRPr="001445D3">
              <w:rPr>
                <w:b/>
                <w:szCs w:val="24"/>
                <w:lang w:val="en-GB"/>
              </w:rPr>
              <w:t>or volume of a publication</w:t>
            </w:r>
          </w:p>
        </w:tc>
        <w:tc>
          <w:tcPr>
            <w:tcW w:w="1333" w:type="pct"/>
            <w:shd w:val="clear" w:color="auto" w:fill="E6E6E6"/>
          </w:tcPr>
          <w:p w14:paraId="5A43D641" w14:textId="77777777" w:rsidR="006864EE" w:rsidRPr="001445D3" w:rsidRDefault="006864EE" w:rsidP="006864EE">
            <w:pPr>
              <w:ind w:right="-143"/>
              <w:outlineLvl w:val="3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>Publishing</w:t>
            </w:r>
            <w:r w:rsidR="00A96B17"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place and</w:t>
            </w:r>
            <w:r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house </w:t>
            </w:r>
          </w:p>
          <w:p w14:paraId="777F5A8B" w14:textId="77777777" w:rsidR="00C95A91" w:rsidRPr="001445D3" w:rsidRDefault="006864EE" w:rsidP="00EC72BB">
            <w:pPr>
              <w:ind w:right="-143"/>
              <w:outlineLvl w:val="3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or </w:t>
            </w:r>
            <w:r w:rsidR="00EC72BB"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web link </w:t>
            </w:r>
          </w:p>
        </w:tc>
      </w:tr>
      <w:tr w:rsidR="00C95A91" w:rsidRPr="001445D3" w14:paraId="65539478" w14:textId="77777777" w:rsidTr="001934AB">
        <w:tc>
          <w:tcPr>
            <w:tcW w:w="5000" w:type="pct"/>
            <w:gridSpan w:val="5"/>
            <w:shd w:val="clear" w:color="auto" w:fill="D9D9D9"/>
          </w:tcPr>
          <w:p w14:paraId="7B2569AA" w14:textId="77777777" w:rsidR="00C95A91" w:rsidRPr="001445D3" w:rsidRDefault="00A96B17" w:rsidP="00C95A91">
            <w:pPr>
              <w:outlineLvl w:val="3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>Compulsary</w:t>
            </w:r>
            <w:proofErr w:type="spellEnd"/>
            <w:r w:rsidR="006864EE"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C95A91" w:rsidRPr="001445D3" w14:paraId="475C5081" w14:textId="77777777" w:rsidTr="001934AB">
        <w:tc>
          <w:tcPr>
            <w:tcW w:w="1231" w:type="pct"/>
          </w:tcPr>
          <w:p w14:paraId="74A755C8" w14:textId="77777777" w:rsidR="00855EF0" w:rsidRPr="00FD1451" w:rsidRDefault="00855EF0" w:rsidP="00855EF0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bookmarkStart w:id="13" w:name="_Hlk125020256"/>
            <w:r w:rsidRPr="00FD1451">
              <w:rPr>
                <w:i/>
                <w:sz w:val="20"/>
                <w:szCs w:val="20"/>
              </w:rPr>
              <w:t>1.Eiteman D. Stonehill A., and M.H. Moffett</w:t>
            </w:r>
          </w:p>
          <w:p w14:paraId="39E2F133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524C13E8" w14:textId="44749411" w:rsidR="00C95A91" w:rsidRPr="001445D3" w:rsidRDefault="00855EF0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2019</w:t>
            </w:r>
          </w:p>
        </w:tc>
        <w:tc>
          <w:tcPr>
            <w:tcW w:w="1339" w:type="pct"/>
          </w:tcPr>
          <w:p w14:paraId="4BA49814" w14:textId="3D6DABD3" w:rsidR="00C95A91" w:rsidRPr="001445D3" w:rsidRDefault="00855EF0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  <w:r w:rsidRPr="00FD1451">
              <w:rPr>
                <w:i/>
                <w:sz w:val="20"/>
                <w:szCs w:val="20"/>
              </w:rPr>
              <w:t>Multinational Business Finance</w:t>
            </w:r>
          </w:p>
        </w:tc>
        <w:tc>
          <w:tcPr>
            <w:tcW w:w="716" w:type="pct"/>
          </w:tcPr>
          <w:p w14:paraId="046B0738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19009B8E" w14:textId="2FCE6B1D" w:rsidR="00C95A91" w:rsidRPr="001445D3" w:rsidRDefault="004C53F5" w:rsidP="00C95A91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  <w:r w:rsidRPr="00FD1451">
              <w:rPr>
                <w:i/>
                <w:sz w:val="20"/>
                <w:szCs w:val="20"/>
              </w:rPr>
              <w:t>International Edition, 1</w:t>
            </w:r>
            <w:r w:rsidR="00DD0584">
              <w:rPr>
                <w:i/>
                <w:sz w:val="20"/>
                <w:szCs w:val="20"/>
              </w:rPr>
              <w:t>5</w:t>
            </w:r>
            <w:r w:rsidRPr="00FD1451">
              <w:rPr>
                <w:i/>
                <w:sz w:val="20"/>
                <w:szCs w:val="20"/>
              </w:rPr>
              <w:t>/E, ISBN-10: 0136096689</w:t>
            </w:r>
          </w:p>
        </w:tc>
      </w:tr>
      <w:tr w:rsidR="00C95A91" w:rsidRPr="001445D3" w14:paraId="7EA1482D" w14:textId="77777777" w:rsidTr="001934AB">
        <w:tc>
          <w:tcPr>
            <w:tcW w:w="1231" w:type="pct"/>
          </w:tcPr>
          <w:p w14:paraId="2F1C36FA" w14:textId="77777777" w:rsidR="00855EF0" w:rsidRPr="00FD1451" w:rsidRDefault="00855EF0" w:rsidP="00855EF0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bookmarkStart w:id="14" w:name="_Hlk125020344"/>
            <w:bookmarkEnd w:id="13"/>
            <w:r w:rsidRPr="00FD1451">
              <w:rPr>
                <w:i/>
                <w:sz w:val="20"/>
                <w:szCs w:val="20"/>
              </w:rPr>
              <w:t>Shapiro, A.C.</w:t>
            </w:r>
          </w:p>
          <w:p w14:paraId="1D901609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3BAA1F5A" w14:textId="1AF1A5FC" w:rsidR="00C95A91" w:rsidRPr="001445D3" w:rsidRDefault="00855EF0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339" w:type="pct"/>
          </w:tcPr>
          <w:p w14:paraId="08818F7F" w14:textId="262222A0" w:rsidR="00C95A91" w:rsidRPr="001445D3" w:rsidRDefault="00855EF0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  <w:r w:rsidRPr="00FD1451">
              <w:rPr>
                <w:i/>
                <w:sz w:val="20"/>
                <w:szCs w:val="20"/>
              </w:rPr>
              <w:t>Multinational Financial Management</w:t>
            </w:r>
          </w:p>
        </w:tc>
        <w:tc>
          <w:tcPr>
            <w:tcW w:w="716" w:type="pct"/>
          </w:tcPr>
          <w:p w14:paraId="6D6ABFC5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334BD118" w14:textId="3F1854F6" w:rsidR="00C95A91" w:rsidRPr="001445D3" w:rsidRDefault="00855EF0" w:rsidP="00C95A91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  <w:r w:rsidRPr="00FD1451">
              <w:rPr>
                <w:i/>
                <w:sz w:val="20"/>
                <w:szCs w:val="20"/>
              </w:rPr>
              <w:t>Prentice Hall</w:t>
            </w:r>
          </w:p>
        </w:tc>
      </w:tr>
      <w:bookmarkEnd w:id="14"/>
      <w:tr w:rsidR="00C95A91" w:rsidRPr="001445D3" w14:paraId="4DDBEAF1" w14:textId="77777777" w:rsidTr="001934AB">
        <w:tc>
          <w:tcPr>
            <w:tcW w:w="1231" w:type="pct"/>
          </w:tcPr>
          <w:p w14:paraId="0C5AEAF9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  <w:p w14:paraId="16F5196B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53DCD1DF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pct"/>
          </w:tcPr>
          <w:p w14:paraId="596C3419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</w:tcPr>
          <w:p w14:paraId="271785FD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4C7C0BC2" w14:textId="77777777" w:rsidR="00C95A91" w:rsidRPr="001445D3" w:rsidRDefault="00C95A91" w:rsidP="00C95A91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95A91" w:rsidRPr="001445D3" w14:paraId="534A0B04" w14:textId="77777777" w:rsidTr="001934AB">
        <w:tc>
          <w:tcPr>
            <w:tcW w:w="5000" w:type="pct"/>
            <w:gridSpan w:val="5"/>
            <w:shd w:val="clear" w:color="auto" w:fill="D9D9D9"/>
          </w:tcPr>
          <w:p w14:paraId="08D0F4BF" w14:textId="77777777" w:rsidR="00C95A91" w:rsidRPr="001445D3" w:rsidRDefault="006864EE" w:rsidP="00C95A91">
            <w:pPr>
              <w:outlineLvl w:val="3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445D3">
              <w:rPr>
                <w:b/>
                <w:bCs/>
                <w:color w:val="000000"/>
                <w:sz w:val="20"/>
                <w:szCs w:val="20"/>
                <w:lang w:val="en-GB"/>
              </w:rPr>
              <w:t>Optional reading</w:t>
            </w:r>
          </w:p>
        </w:tc>
      </w:tr>
      <w:tr w:rsidR="00C95A91" w:rsidRPr="001445D3" w14:paraId="352854DA" w14:textId="77777777" w:rsidTr="001934AB">
        <w:tc>
          <w:tcPr>
            <w:tcW w:w="1231" w:type="pct"/>
          </w:tcPr>
          <w:p w14:paraId="5A958B2B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  <w:p w14:paraId="3608CDFC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0AD2FC77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pct"/>
          </w:tcPr>
          <w:p w14:paraId="5B2C1262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</w:tcPr>
          <w:p w14:paraId="44CA196F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183E9D61" w14:textId="77777777" w:rsidR="00C95A91" w:rsidRPr="001445D3" w:rsidRDefault="00C95A91" w:rsidP="00C95A91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95A91" w:rsidRPr="001445D3" w14:paraId="76E63AC6" w14:textId="77777777" w:rsidTr="001934AB">
        <w:tc>
          <w:tcPr>
            <w:tcW w:w="1231" w:type="pct"/>
          </w:tcPr>
          <w:p w14:paraId="674BF507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  <w:p w14:paraId="6803F278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7A79D921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pct"/>
          </w:tcPr>
          <w:p w14:paraId="2F8BCAA3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</w:tcPr>
          <w:p w14:paraId="20E9AE9A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3FDC0630" w14:textId="77777777" w:rsidR="00C95A91" w:rsidRPr="001445D3" w:rsidRDefault="00C95A91" w:rsidP="00C95A91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95A91" w:rsidRPr="001445D3" w14:paraId="1DA6A8E0" w14:textId="77777777" w:rsidTr="001934AB">
        <w:tc>
          <w:tcPr>
            <w:tcW w:w="1231" w:type="pct"/>
          </w:tcPr>
          <w:p w14:paraId="7969A7E0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  <w:p w14:paraId="655A3695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50ECD5DC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pct"/>
          </w:tcPr>
          <w:p w14:paraId="28D529B2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</w:tcPr>
          <w:p w14:paraId="14AD642A" w14:textId="77777777" w:rsidR="00C95A91" w:rsidRPr="001445D3" w:rsidRDefault="00C95A91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5AE85235" w14:textId="77777777" w:rsidR="00C95A91" w:rsidRPr="001445D3" w:rsidRDefault="00C95A91" w:rsidP="00C95A91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DA96940" w14:textId="77777777" w:rsidR="00C95A91" w:rsidRPr="001445D3" w:rsidRDefault="00C95A91" w:rsidP="00C95A91">
      <w:pPr>
        <w:jc w:val="center"/>
        <w:rPr>
          <w:sz w:val="20"/>
          <w:szCs w:val="20"/>
          <w:lang w:val="en-GB"/>
        </w:rPr>
      </w:pPr>
    </w:p>
    <w:p w14:paraId="073787DB" w14:textId="77777777" w:rsidR="00C95A91" w:rsidRPr="001445D3" w:rsidRDefault="00C95A91" w:rsidP="00C95A91">
      <w:pPr>
        <w:autoSpaceDE w:val="0"/>
        <w:autoSpaceDN w:val="0"/>
        <w:adjustRightInd w:val="0"/>
        <w:ind w:firstLine="720"/>
        <w:jc w:val="both"/>
        <w:rPr>
          <w:lang w:val="en-GB"/>
        </w:rPr>
      </w:pPr>
    </w:p>
    <w:p w14:paraId="78639A99" w14:textId="77777777" w:rsidR="00832FAF" w:rsidRPr="001445D3" w:rsidRDefault="00832FAF" w:rsidP="00C95A91">
      <w:pPr>
        <w:rPr>
          <w:lang w:val="en-GB"/>
        </w:rPr>
      </w:pPr>
    </w:p>
    <w:sectPr w:rsidR="00832FAF" w:rsidRPr="001445D3" w:rsidSect="00843576">
      <w:pgSz w:w="12240" w:h="15840"/>
      <w:pgMar w:top="71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1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91"/>
    <w:rsid w:val="00026101"/>
    <w:rsid w:val="00064EF5"/>
    <w:rsid w:val="000E06E7"/>
    <w:rsid w:val="00143259"/>
    <w:rsid w:val="001445D3"/>
    <w:rsid w:val="001531EF"/>
    <w:rsid w:val="00177B80"/>
    <w:rsid w:val="001934AB"/>
    <w:rsid w:val="00195697"/>
    <w:rsid w:val="001969AC"/>
    <w:rsid w:val="001A22E4"/>
    <w:rsid w:val="001F40AA"/>
    <w:rsid w:val="00394B1E"/>
    <w:rsid w:val="003E6672"/>
    <w:rsid w:val="00404695"/>
    <w:rsid w:val="0046097A"/>
    <w:rsid w:val="004C53F5"/>
    <w:rsid w:val="00545BE6"/>
    <w:rsid w:val="005C2183"/>
    <w:rsid w:val="005D2DDF"/>
    <w:rsid w:val="0066251D"/>
    <w:rsid w:val="0066793F"/>
    <w:rsid w:val="006864EE"/>
    <w:rsid w:val="0069132F"/>
    <w:rsid w:val="00696BB5"/>
    <w:rsid w:val="006A3425"/>
    <w:rsid w:val="006E7889"/>
    <w:rsid w:val="00802B93"/>
    <w:rsid w:val="00832FAF"/>
    <w:rsid w:val="00843576"/>
    <w:rsid w:val="00846541"/>
    <w:rsid w:val="00855EF0"/>
    <w:rsid w:val="00875616"/>
    <w:rsid w:val="00891385"/>
    <w:rsid w:val="009020D6"/>
    <w:rsid w:val="00985C25"/>
    <w:rsid w:val="009A33A3"/>
    <w:rsid w:val="009F3F71"/>
    <w:rsid w:val="00A96B17"/>
    <w:rsid w:val="00AE28D2"/>
    <w:rsid w:val="00B7198E"/>
    <w:rsid w:val="00B85340"/>
    <w:rsid w:val="00C70652"/>
    <w:rsid w:val="00C95A91"/>
    <w:rsid w:val="00CF6C7D"/>
    <w:rsid w:val="00D0218F"/>
    <w:rsid w:val="00D453D7"/>
    <w:rsid w:val="00DC6265"/>
    <w:rsid w:val="00DD0584"/>
    <w:rsid w:val="00E36306"/>
    <w:rsid w:val="00EC72BB"/>
    <w:rsid w:val="00F55F0D"/>
    <w:rsid w:val="00F71048"/>
    <w:rsid w:val="00FA14A3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D8DF6"/>
  <w15:chartTrackingRefBased/>
  <w15:docId w15:val="{3AE54E18-161A-41B4-91E5-C6675C2B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95A91"/>
    <w:rPr>
      <w:rFonts w:eastAsia="Times New Roman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ipersaitas">
    <w:name w:val="Hyperlink"/>
    <w:rsid w:val="00C95A91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AntratsDiagrama">
    <w:name w:val="Antraštės Diagrama"/>
    <w:link w:val="Antrats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styleId="Komentaronuoroda">
    <w:name w:val="annotation reference"/>
    <w:semiHidden/>
    <w:rsid w:val="00A96B17"/>
    <w:rPr>
      <w:sz w:val="16"/>
      <w:szCs w:val="16"/>
    </w:rPr>
  </w:style>
  <w:style w:type="paragraph" w:styleId="Komentarotekstas">
    <w:name w:val="annotation text"/>
    <w:basedOn w:val="prastasis"/>
    <w:semiHidden/>
    <w:rsid w:val="00A96B1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A96B17"/>
    <w:rPr>
      <w:b/>
      <w:bCs/>
    </w:rPr>
  </w:style>
  <w:style w:type="paragraph" w:styleId="Debesliotekstas">
    <w:name w:val="Balloon Text"/>
    <w:basedOn w:val="prastasis"/>
    <w:semiHidden/>
    <w:rsid w:val="00A96B1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F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vydas@paskevici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3092F0E904C4C9CE094EA61496583" ma:contentTypeVersion="13" ma:contentTypeDescription="Create a new document." ma:contentTypeScope="" ma:versionID="6d064e5f491cdb195ca5dc07d9037ff6">
  <xsd:schema xmlns:xsd="http://www.w3.org/2001/XMLSchema" xmlns:xs="http://www.w3.org/2001/XMLSchema" xmlns:p="http://schemas.microsoft.com/office/2006/metadata/properties" xmlns:ns2="fa15f33f-2cc1-4a01-bf48-d97ef85b6f54" xmlns:ns3="962c38a9-2699-4617-9d5a-12aa83a03e8a" targetNamespace="http://schemas.microsoft.com/office/2006/metadata/properties" ma:root="true" ma:fieldsID="be86bafea15477ae974f3ae575bb22b2" ns2:_="" ns3:_="">
    <xsd:import namespace="fa15f33f-2cc1-4a01-bf48-d97ef85b6f54"/>
    <xsd:import namespace="962c38a9-2699-4617-9d5a-12aa83a03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5f33f-2cc1-4a01-bf48-d97ef85b6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c38a9-2699-4617-9d5a-12aa83a03e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903c8d-4087-4ffc-a319-873859816999}" ma:internalName="TaxCatchAll" ma:showField="CatchAllData" ma:web="962c38a9-2699-4617-9d5a-12aa83a03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5f33f-2cc1-4a01-bf48-d97ef85b6f54">
      <Terms xmlns="http://schemas.microsoft.com/office/infopath/2007/PartnerControls"/>
    </lcf76f155ced4ddcb4097134ff3c332f>
    <TaxCatchAll xmlns="962c38a9-2699-4617-9d5a-12aa83a03e8a" xsi:nil="true"/>
  </documentManagement>
</p:properties>
</file>

<file path=customXml/itemProps1.xml><?xml version="1.0" encoding="utf-8"?>
<ds:datastoreItem xmlns:ds="http://schemas.openxmlformats.org/officeDocument/2006/customXml" ds:itemID="{9732CFA7-28C3-46D9-9A1E-8B622572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5f33f-2cc1-4a01-bf48-d97ef85b6f54"/>
    <ds:schemaRef ds:uri="962c38a9-2699-4617-9d5a-12aa83a03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4AD28-4122-4C3A-9E5C-7B9367F1F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0E72A-A2C4-4023-85BA-468AB0D0E0A6}">
  <ds:schemaRefs>
    <ds:schemaRef ds:uri="http://schemas.microsoft.com/office/2006/metadata/properties"/>
    <ds:schemaRef ds:uri="http://schemas.microsoft.com/office/infopath/2007/PartnerControls"/>
    <ds:schemaRef ds:uri="fa15f33f-2cc1-4a01-bf48-d97ef85b6f54"/>
    <ds:schemaRef ds:uri="962c38a9-2699-4617-9d5a-12aa83a03e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3210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subject/>
  <dc:creator>Dovilė Savičiūtė</dc:creator>
  <cp:keywords/>
  <cp:lastModifiedBy>Arvydas Paškevičius</cp:lastModifiedBy>
  <cp:revision>10</cp:revision>
  <dcterms:created xsi:type="dcterms:W3CDTF">2023-01-19T08:40:00Z</dcterms:created>
  <dcterms:modified xsi:type="dcterms:W3CDTF">2023-02-01T10:51:00Z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0x01010048B3092F0E904C4C9CE094EA61496583</vt:lpwstr>
  </property>
</Properties>
</file>